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ARTIVION,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2"/>
        <w:gridCol w:w="8053"/>
      </w:tblGrid>
      <w:tr>
        <w:trPr/>
        <w:tc>
          <w:tcPr>
            <w:tcW w:w="2152" w:type="dxa"/>
            <w:tcBorders/>
            <w:vAlign w:val="center"/>
          </w:tcPr>
          <w:p>
            <w:pPr>
              <w:pStyle w:val="TableContents"/>
              <w:bidi w:val="0"/>
              <w:spacing w:before="0" w:after="283"/>
              <w:jc w:val="left"/>
              <w:rPr/>
            </w:pPr>
            <w:r>
              <w:rPr/>
              <w:t>1</w:t>
            </w:r>
          </w:p>
        </w:tc>
        <w:tc>
          <w:tcPr>
            <w:tcW w:w="805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ASSET MANAGEMENT INTERNATIONAL INC.</w:t>
            </w:r>
          </w:p>
        </w:tc>
      </w:tr>
      <w:tr>
        <w:trPr/>
        <w:tc>
          <w:tcPr>
            <w:tcW w:w="2152" w:type="dxa"/>
            <w:tcBorders/>
            <w:vAlign w:val="center"/>
          </w:tcPr>
          <w:p>
            <w:pPr>
              <w:pStyle w:val="TableContents"/>
              <w:bidi w:val="0"/>
              <w:spacing w:before="0" w:after="283"/>
              <w:jc w:val="left"/>
              <w:rPr/>
            </w:pPr>
            <w:r>
              <w:rPr/>
              <w:t>2</w:t>
            </w:r>
          </w:p>
        </w:tc>
        <w:tc>
          <w:tcPr>
            <w:tcW w:w="805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2" w:type="dxa"/>
            <w:tcBorders/>
            <w:vAlign w:val="center"/>
          </w:tcPr>
          <w:p>
            <w:pPr>
              <w:pStyle w:val="TableContents"/>
              <w:bidi w:val="0"/>
              <w:spacing w:before="0" w:after="283"/>
              <w:jc w:val="left"/>
              <w:rPr/>
            </w:pPr>
            <w:r>
              <w:rPr/>
              <w:t>3</w:t>
            </w:r>
          </w:p>
        </w:tc>
        <w:tc>
          <w:tcPr>
            <w:tcW w:w="8053" w:type="dxa"/>
            <w:tcBorders/>
            <w:vAlign w:val="center"/>
          </w:tcPr>
          <w:p>
            <w:pPr>
              <w:pStyle w:val="TableContents"/>
              <w:bidi w:val="0"/>
              <w:spacing w:before="0" w:after="283"/>
              <w:jc w:val="left"/>
              <w:rPr/>
            </w:pPr>
            <w:r>
              <w:rPr/>
              <w:t>Sec Use Only</w:t>
            </w:r>
          </w:p>
        </w:tc>
      </w:tr>
      <w:tr>
        <w:trPr/>
        <w:tc>
          <w:tcPr>
            <w:tcW w:w="2152" w:type="dxa"/>
            <w:tcBorders/>
            <w:vAlign w:val="center"/>
          </w:tcPr>
          <w:p>
            <w:pPr>
              <w:pStyle w:val="TableContents"/>
              <w:bidi w:val="0"/>
              <w:spacing w:before="0" w:after="283"/>
              <w:jc w:val="left"/>
              <w:rPr/>
            </w:pPr>
            <w:r>
              <w:rPr/>
              <w:t>4</w:t>
            </w:r>
          </w:p>
        </w:tc>
        <w:tc>
          <w:tcPr>
            <w:tcW w:w="805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5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3,184,974.00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3,184,974.00</w:t>
                  </w:r>
                </w:p>
              </w:tc>
            </w:tr>
          </w:tbl>
          <w:p>
            <w:pPr>
              <w:pStyle w:val="TableContents"/>
              <w:bidi w:val="0"/>
              <w:spacing w:before="0" w:after="283"/>
              <w:jc w:val="left"/>
              <w:rPr/>
            </w:pPr>
            <w:r>
              <w:rPr/>
            </w:r>
          </w:p>
        </w:tc>
        <w:tc>
          <w:tcPr>
            <w:tcW w:w="8053"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center"/>
          </w:tcPr>
          <w:p>
            <w:pPr>
              <w:pStyle w:val="TableContents"/>
              <w:bidi w:val="0"/>
              <w:spacing w:before="0" w:after="283"/>
              <w:jc w:val="left"/>
              <w:rPr/>
            </w:pPr>
            <w:r>
              <w:rPr/>
              <w:t>9</w:t>
            </w:r>
          </w:p>
        </w:tc>
        <w:tc>
          <w:tcPr>
            <w:tcW w:w="805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3,184,974.00</w:t>
            </w:r>
          </w:p>
        </w:tc>
      </w:tr>
      <w:tr>
        <w:trPr/>
        <w:tc>
          <w:tcPr>
            <w:tcW w:w="2152" w:type="dxa"/>
            <w:tcBorders/>
            <w:vAlign w:val="center"/>
          </w:tcPr>
          <w:p>
            <w:pPr>
              <w:pStyle w:val="TableContents"/>
              <w:bidi w:val="0"/>
              <w:spacing w:before="0" w:after="283"/>
              <w:jc w:val="left"/>
              <w:rPr/>
            </w:pPr>
            <w:r>
              <w:rPr/>
              <w:t>10</w:t>
            </w:r>
          </w:p>
        </w:tc>
        <w:tc>
          <w:tcPr>
            <w:tcW w:w="805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2" w:type="dxa"/>
            <w:tcBorders/>
            <w:vAlign w:val="center"/>
          </w:tcPr>
          <w:p>
            <w:pPr>
              <w:pStyle w:val="TableContents"/>
              <w:bidi w:val="0"/>
              <w:spacing w:before="0" w:after="283"/>
              <w:jc w:val="left"/>
              <w:rPr/>
            </w:pPr>
            <w:r>
              <w:rPr/>
              <w:t>11</w:t>
            </w:r>
          </w:p>
        </w:tc>
        <w:tc>
          <w:tcPr>
            <w:tcW w:w="805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52" w:type="dxa"/>
            <w:tcBorders/>
            <w:vAlign w:val="center"/>
          </w:tcPr>
          <w:p>
            <w:pPr>
              <w:pStyle w:val="TableContents"/>
              <w:bidi w:val="0"/>
              <w:spacing w:before="0" w:after="283"/>
              <w:jc w:val="left"/>
              <w:rPr/>
            </w:pPr>
            <w:r>
              <w:rPr/>
              <w:t>12</w:t>
            </w:r>
          </w:p>
        </w:tc>
        <w:tc>
          <w:tcPr>
            <w:tcW w:w="805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is calculated based on 48,692,000 shares of Common Stock outstanding as of June 30, 2026, which is the result of 50,179,000 shares of Common Stock issued as of June 30, 2026 minus 1,487,000 shares of Common Stock held in treasury as of June 30, 2026, as reported in the Issuer's quarterly report on Form 10-Q for the fiscal quarter ended June 30, 2026 filed with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INVESTMENT MANAGEMENT BUSINESS TRUST</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3,184,974.00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3,184,974.00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3,184,974.00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is calculated based on 48,692,000 shares of Common Stock outstanding as of June 30, 2026, which is the result of 50,179,000 shares of Common Stock issued as of June 30, 2026 minus 1,487,000 shares of Common Stock held in treasury as of June 30, 2026, as reported in the Issuer's quarterly report on Form 10-Q for the fiscal quarter ended June 30, 2026 filed with the SEC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ARTIVION,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1655 Roberts Boulevard, N.W., Kennesaw, Georgia, 30144</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Nomura Asset Management International Inc. Nomura Investment Management Business Trust This Schedule 13G excludes securities beneficially owned, if any, by Nomura Holdings Inc. and certain of its subsidiaries whose beneficial ownership of securities are disaggregated from that of Nomura Asset Management International Inc. and the advisory entities underneath Nomura Asset Management International Inc. in accordance with SEC Release No.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Nomura Asset Management International Inc. and Nomura Investment Management Business Trust: 100 Independence 610 Market Street Philadelphia, PA 19106-2354</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Each of Nomura Asset Management International Inc. and Nomura Investment Management Business Trust: 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5-11 of the cover pages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Items 5-11 of the cover pages are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0"/>
              <w:jc w:val="left"/>
              <w:rPr/>
            </w:pPr>
            <w:r>
              <w:rPr/>
              <w:t> </w:t>
            </w:r>
          </w:p>
          <w:tbl>
            <w:tblPr>
              <w:tblW w:w="6496" w:type="dxa"/>
              <w:jc w:val="left"/>
              <w:tblInd w:w="0" w:type="dxa"/>
              <w:tblLayout w:type="fixed"/>
              <w:tblCellMar>
                <w:top w:w="28" w:type="dxa"/>
                <w:left w:w="28" w:type="dxa"/>
                <w:bottom w:w="28" w:type="dxa"/>
                <w:right w:w="28" w:type="dxa"/>
              </w:tblCellMar>
            </w:tblPr>
            <w:tblGrid>
              <w:gridCol w:w="6496"/>
            </w:tblGrid>
            <w:tr>
              <w:trPr/>
              <w:tc>
                <w:tcPr>
                  <w:tcW w:w="6496" w:type="dxa"/>
                  <w:tcBorders/>
                  <w:vAlign w:val="center"/>
                </w:tcPr>
                <w:p>
                  <w:pPr>
                    <w:pStyle w:val="TableContents"/>
                    <w:bidi w:val="0"/>
                    <w:spacing w:before="0" w:after="0"/>
                    <w:jc w:val="left"/>
                    <w:rPr/>
                  </w:pPr>
                  <w:r>
                    <w:rPr/>
                    <w:t>NOMURA ASSET MANAGEMENT INTERNATIONAL INC.</w:t>
                  </w:r>
                </w:p>
              </w:tc>
            </w:tr>
          </w:tbl>
          <w:p>
            <w:pPr>
              <w:pStyle w:val="TableContents"/>
              <w:bidi w:val="0"/>
              <w:spacing w:before="0" w:after="283"/>
              <w:jc w:val="left"/>
              <w:rPr/>
            </w:pPr>
            <w:r>
              <w:rPr/>
            </w:r>
          </w:p>
        </w:tc>
        <w:tc>
          <w:tcPr>
            <w:tcW w:w="4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Fernando del Puerto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Fernando del Puerto, Managing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92"/>
        <w:gridCol w:w="4813"/>
      </w:tblGrid>
      <w:tr>
        <w:trPr/>
        <w:tc>
          <w:tcPr>
            <w:tcW w:w="5392" w:type="dxa"/>
            <w:tcBorders/>
            <w:vAlign w:val="center"/>
          </w:tcPr>
          <w:p>
            <w:pPr>
              <w:pStyle w:val="TableContents"/>
              <w:bidi w:val="0"/>
              <w:spacing w:before="0" w:after="0"/>
              <w:jc w:val="left"/>
              <w:rPr/>
            </w:pPr>
            <w:r>
              <w:rPr/>
              <w:t> </w:t>
            </w:r>
          </w:p>
          <w:tbl>
            <w:tblPr>
              <w:tblW w:w="6766" w:type="dxa"/>
              <w:jc w:val="left"/>
              <w:tblInd w:w="0" w:type="dxa"/>
              <w:tblLayout w:type="fixed"/>
              <w:tblCellMar>
                <w:top w:w="28" w:type="dxa"/>
                <w:left w:w="28" w:type="dxa"/>
                <w:bottom w:w="28" w:type="dxa"/>
                <w:right w:w="28" w:type="dxa"/>
              </w:tblCellMar>
            </w:tblPr>
            <w:tblGrid>
              <w:gridCol w:w="6766"/>
            </w:tblGrid>
            <w:tr>
              <w:trPr/>
              <w:tc>
                <w:tcPr>
                  <w:tcW w:w="6766" w:type="dxa"/>
                  <w:tcBorders/>
                  <w:vAlign w:val="center"/>
                </w:tcPr>
                <w:p>
                  <w:pPr>
                    <w:pStyle w:val="TableContents"/>
                    <w:bidi w:val="0"/>
                    <w:spacing w:before="0" w:after="0"/>
                    <w:jc w:val="left"/>
                    <w:rPr/>
                  </w:pPr>
                  <w:r>
                    <w:rPr/>
                    <w:t>NOMURA INVESTMENT MANAGEMENT BUSINESS TRUST</w:t>
                  </w:r>
                </w:p>
              </w:tc>
            </w:tr>
          </w:tbl>
          <w:p>
            <w:pPr>
              <w:pStyle w:val="TableContents"/>
              <w:bidi w:val="0"/>
              <w:spacing w:before="0" w:after="283"/>
              <w:jc w:val="left"/>
              <w:rPr/>
            </w:pPr>
            <w:r>
              <w:rPr/>
            </w:r>
          </w:p>
        </w:tc>
        <w:tc>
          <w:tcPr>
            <w:tcW w:w="4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Fernando del Puerto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Fernando del Puerto, Managing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0"/>
        </w:rPr>
      </w:pPr>
      <w:bookmarkStart w:id="20" w:name="jfa.htm"/>
      <w:bookmarkStart w:id="21" w:name="ksjfa"/>
      <w:bookmarkEnd w:id="20"/>
      <w:bookmarkEnd w:id="21"/>
      <w:r>
        <w:rPr>
          <w:rFonts w:ascii="Times New Roman;Times;serif" w:hAnsi="Times New Roman;Times;serif"/>
          <w:b w:val="false"/>
          <w:i w:val="false"/>
          <w:caps w:val="false"/>
          <w:smallCaps w:val="false"/>
          <w:color w:val="000000"/>
          <w:spacing w:val="0"/>
          <w:sz w:val="20"/>
        </w:rPr>
        <w:t>EXHIBIT A</w:t>
      </w:r>
      <w:r>
        <w:br w:type="page"/>
      </w:r>
    </w:p>
    <w:p>
      <w:pPr>
        <w:pStyle w:val="TextBody"/>
        <w:widowControl/>
        <w:bidi w:val="0"/>
        <w:spacing w:before="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JOINT FILING AGREEMENT</w:t>
      </w:r>
    </w:p>
    <w:p>
      <w:pPr>
        <w:pStyle w:val="TextBody"/>
        <w:widowControl/>
        <w:bidi w:val="0"/>
        <w:spacing w:before="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p>
      <w:pPr>
        <w:pStyle w:val="TextBody"/>
        <w:bidi w:val="0"/>
        <w:spacing w:before="0" w:after="0"/>
        <w:jc w:val="left"/>
        <w:rPr>
          <w:rFonts w:ascii="Times New Roman;Times;serif" w:hAnsi="Times New Roman;Times;serif"/>
          <w:color w:val="000000"/>
          <w:spacing w:val="0"/>
          <w:sz w:val="20"/>
          <w:shd w:fill="FFFFFF" w:val="clear"/>
        </w:rPr>
      </w:pPr>
      <w:r>
        <w:rPr>
          <w:rFonts w:ascii="Times New Roman;Times;serif" w:hAnsi="Times New Roman;Times;serif"/>
          <w:color w:val="000000"/>
          <w:spacing w:val="0"/>
          <w:sz w:val="20"/>
          <w:shd w:fill="FFFFFF" w:val="clear"/>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August 14, 2026.</w:t>
      </w:r>
    </w:p>
    <w:p>
      <w:pPr>
        <w:pStyle w:val="TextBody"/>
        <w:widowControl/>
        <w:bidi w:val="0"/>
        <w:spacing w:before="0" w:after="0"/>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p>
      <w:pPr>
        <w:pStyle w:val="Normal"/>
        <w:bidi w:val="0"/>
        <w:spacing w:before="0" w:after="0"/>
        <w:jc w:val="left"/>
        <w:rPr>
          <w:sz w:val="4"/>
          <w:szCs w:val="4"/>
        </w:rPr>
      </w:pPr>
      <w:r>
        <w:rPr>
          <w:sz w:val="4"/>
          <w:szCs w:val="4"/>
        </w:rPr>
      </w:r>
      <w:bookmarkStart w:id="22" w:name="z76f7fcb8c0a2423db6f93b7da778042f"/>
      <w:bookmarkStart w:id="23" w:name="z76f7fcb8c0a2423db6f93b7da778042f"/>
      <w:bookmarkEnd w:id="23"/>
    </w:p>
    <w:tbl>
      <w:tblPr>
        <w:tblW w:w="4790" w:type="dxa"/>
        <w:jc w:val="left"/>
        <w:tblInd w:w="0" w:type="dxa"/>
        <w:shd w:fill="FFFFFF" w:val="clear"/>
        <w:tblLayout w:type="fixed"/>
        <w:tblCellMar>
          <w:top w:w="0" w:type="dxa"/>
          <w:left w:w="0" w:type="dxa"/>
          <w:bottom w:w="0" w:type="dxa"/>
          <w:right w:w="0" w:type="dxa"/>
        </w:tblCellMar>
      </w:tblPr>
      <w:tblGrid>
        <w:gridCol w:w="4670"/>
        <w:gridCol w:w="120"/>
      </w:tblGrid>
      <w:tr>
        <w:trPr/>
        <w:tc>
          <w:tcPr>
            <w:tcW w:w="4670" w:type="dxa"/>
            <w:tcBorders/>
            <w:shd w:fill="FFFFFF" w:val="clear"/>
            <w:vAlign w:val="center"/>
          </w:tcPr>
          <w:p>
            <w:pPr>
              <w:pStyle w:val="TableContents"/>
              <w:bidi w:val="0"/>
              <w:spacing w:before="0" w:after="0"/>
              <w:jc w:val="left"/>
              <w:rPr/>
            </w:pPr>
            <w:r>
              <w:rPr/>
              <w:t>Nomura Asset Management International Inc.</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/s/ Fernando del Puerto</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 xml:space="preserve">Name: Fernando del Puerto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Title:  Managing Director</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Nomura Investment Management Business Trust</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 xml:space="preserve">/s/ Fernando del Puerto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 xml:space="preserve">Name: Fernando del Puerto </w:t>
            </w:r>
          </w:p>
        </w:tc>
        <w:tc>
          <w:tcPr>
            <w:tcW w:w="12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jc w:val="left"/>
              <w:rPr/>
            </w:pPr>
            <w:r>
              <w:rPr/>
              <w:t>Title:  Managing Director</w:t>
            </w:r>
          </w:p>
        </w:tc>
        <w:tc>
          <w:tcPr>
            <w:tcW w:w="120"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1283</Words>
  <Characters>6739</Characters>
  <CharactersWithSpaces>7999</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