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Mackin James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ARTIVION,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1655 ROBERTS BLVD,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ARTIVION,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AORT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116,948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37.7756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granted on February 28, 2025. One third (1/3) were issued on March 2, 2026. The remaining shares earned in connection with the February 2025 grant will be eligible to vest and be issued as follows: one third (1/3) on February 28, 2027; and one third (1/3) on February 28, 2028, assuming employment on the relevant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upon the vesting of performance stock units to pay tax withholding obligations. The sale was to satisfy tax withholding obligations to be funded by a "sell to cover" transaction and does not represent a discretionary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James P. Mackin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470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2026-03-04T17:45:46Z</dcterms:created>
  <dcterms:modified xsi:type="dcterms:W3CDTF">2026-03-04T17:45:46Z</dcterms:modified>
</cp:coreProperties>
</file>