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74"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QUARTERLY REPORT PURSUANT TO SECTION 13 OR 15(d) OF THE</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March 31, 2026</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63"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TRANSITION REPORT PURSUANT TO SECTION 13 OR 15(d) OF THE</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63"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For the transition period from ________________ to 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1-13165</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ARTIVION, INC.</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23"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24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20" w:type="dxa"/>
            <w:vAlign w:val="bottom"/>
          </w:tcPr>
          <w:p>
            <w:pPr>
              <w:spacing w:after="0"/>
              <w:rPr>
                <w:sz w:val="20"/>
                <w:szCs w:val="20"/>
                <w:color w:val="auto"/>
              </w:rPr>
            </w:pPr>
          </w:p>
        </w:tc>
        <w:tc>
          <w:tcPr>
            <w:tcW w:w="4980" w:type="dxa"/>
            <w:vAlign w:val="bottom"/>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59-2417093</w:t>
            </w:r>
          </w:p>
        </w:tc>
      </w:tr>
      <w:tr>
        <w:trPr>
          <w:trHeight w:val="198"/>
        </w:trPr>
        <w:tc>
          <w:tcPr>
            <w:tcW w:w="4240" w:type="dxa"/>
            <w:vAlign w:val="bottom"/>
            <w:gridSpan w:val="2"/>
          </w:tcPr>
          <w:p>
            <w:pPr>
              <w:ind w:left="172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020" w:type="dxa"/>
            <w:vAlign w:val="bottom"/>
          </w:tcPr>
          <w:p>
            <w:pPr>
              <w:spacing w:after="0"/>
              <w:rPr>
                <w:sz w:val="17"/>
                <w:szCs w:val="17"/>
                <w:color w:val="auto"/>
              </w:rPr>
            </w:pPr>
          </w:p>
        </w:tc>
        <w:tc>
          <w:tcPr>
            <w:tcW w:w="4980" w:type="dxa"/>
            <w:vAlign w:val="bottom"/>
          </w:tcPr>
          <w:p>
            <w:pPr>
              <w:jc w:val="center"/>
              <w:ind w:right="51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24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020" w:type="dxa"/>
            <w:vAlign w:val="bottom"/>
          </w:tcPr>
          <w:p>
            <w:pPr>
              <w:spacing w:after="0"/>
              <w:rPr>
                <w:sz w:val="20"/>
                <w:szCs w:val="20"/>
                <w:color w:val="auto"/>
              </w:rPr>
            </w:pPr>
          </w:p>
        </w:tc>
        <w:tc>
          <w:tcPr>
            <w:tcW w:w="49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27"/>
        </w:trPr>
        <w:tc>
          <w:tcPr>
            <w:tcW w:w="6260" w:type="dxa"/>
            <w:vAlign w:val="bottom"/>
            <w:gridSpan w:val="3"/>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1655 Roberts Boulevard, NW, Kennesaw, Georgia</w:t>
            </w:r>
          </w:p>
        </w:tc>
        <w:tc>
          <w:tcPr>
            <w:tcW w:w="4980" w:type="dxa"/>
            <w:vAlign w:val="bottom"/>
          </w:tcPr>
          <w:p>
            <w:pPr>
              <w:jc w:val="right"/>
              <w:ind w:right="2470"/>
              <w:spacing w:after="0"/>
              <w:rPr>
                <w:sz w:val="20"/>
                <w:szCs w:val="20"/>
                <w:color w:val="auto"/>
              </w:rPr>
            </w:pPr>
            <w:r>
              <w:rPr>
                <w:rFonts w:ascii="Times New Roman" w:cs="Times New Roman" w:eastAsia="Times New Roman" w:hAnsi="Times New Roman"/>
                <w:sz w:val="18"/>
                <w:szCs w:val="18"/>
                <w:b w:val="1"/>
                <w:bCs w:val="1"/>
                <w:color w:val="auto"/>
              </w:rPr>
              <w:t>30144</w:t>
            </w:r>
          </w:p>
        </w:tc>
      </w:tr>
      <w:tr>
        <w:trPr>
          <w:trHeight w:val="243"/>
        </w:trPr>
        <w:tc>
          <w:tcPr>
            <w:tcW w:w="424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20" w:type="dxa"/>
            <w:vAlign w:val="bottom"/>
          </w:tcPr>
          <w:p>
            <w:pPr>
              <w:spacing w:after="0"/>
              <w:rPr>
                <w:sz w:val="21"/>
                <w:szCs w:val="21"/>
                <w:color w:val="auto"/>
              </w:rPr>
            </w:pPr>
          </w:p>
        </w:tc>
        <w:tc>
          <w:tcPr>
            <w:tcW w:w="49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65"/>
        </w:trPr>
        <w:tc>
          <w:tcPr>
            <w:tcW w:w="3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(770) 419-3355</w:t>
            </w:r>
          </w:p>
        </w:tc>
        <w:tc>
          <w:tcPr>
            <w:tcW w:w="4980" w:type="dxa"/>
            <w:vAlign w:val="bottom"/>
          </w:tcPr>
          <w:p>
            <w:pPr>
              <w:spacing w:after="0"/>
              <w:rPr>
                <w:sz w:val="24"/>
                <w:szCs w:val="24"/>
                <w:color w:val="auto"/>
              </w:rPr>
            </w:pPr>
          </w:p>
        </w:tc>
      </w:tr>
      <w:tr>
        <w:trPr>
          <w:trHeight w:val="270"/>
        </w:trPr>
        <w:tc>
          <w:tcPr>
            <w:tcW w:w="3680" w:type="dxa"/>
            <w:vAlign w:val="bottom"/>
          </w:tcPr>
          <w:p>
            <w:pPr>
              <w:spacing w:after="0"/>
              <w:rPr>
                <w:sz w:val="23"/>
                <w:szCs w:val="23"/>
                <w:color w:val="auto"/>
              </w:rPr>
            </w:pPr>
          </w:p>
        </w:tc>
        <w:tc>
          <w:tcPr>
            <w:tcW w:w="7560" w:type="dxa"/>
            <w:vAlign w:val="bottom"/>
            <w:gridSpan w:val="3"/>
          </w:tcPr>
          <w:p>
            <w:pPr>
              <w:jc w:val="center"/>
              <w:ind w:right="35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270"/>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94"/>
        </w:trPr>
        <w:tc>
          <w:tcPr>
            <w:tcW w:w="36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4980" w:type="dxa"/>
            <w:vAlign w:val="bottom"/>
            <w:tcBorders>
              <w:bottom w:val="single" w:sz="8" w:color="auto"/>
            </w:tcBorders>
          </w:tcPr>
          <w:p>
            <w:pPr>
              <w:spacing w:after="0"/>
              <w:rPr>
                <w:sz w:val="8"/>
                <w:szCs w:val="8"/>
                <w:color w:val="auto"/>
              </w:rPr>
            </w:pPr>
          </w:p>
        </w:tc>
      </w:tr>
      <w:tr>
        <w:trPr>
          <w:trHeight w:val="234"/>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6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56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w w:val="97"/>
              </w:rPr>
              <w:t>AORT</w:t>
            </w:r>
          </w:p>
        </w:tc>
        <w:tc>
          <w:tcPr>
            <w:tcW w:w="4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0"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8"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35"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460" w:type="dxa"/>
            <w:vAlign w:val="bottom"/>
          </w:tcPr>
          <w:p>
            <w:pPr>
              <w:ind w:left="1140"/>
              <w:spacing w:after="0"/>
              <w:rPr>
                <w:sz w:val="20"/>
                <w:szCs w:val="20"/>
                <w:color w:val="auto"/>
              </w:rPr>
            </w:pPr>
            <w:r>
              <w:rPr>
                <w:rFonts w:ascii="Wingdings" w:cs="Wingdings" w:eastAsia="Wingdings" w:hAnsi="Wingdings"/>
                <w:sz w:val="18"/>
                <w:szCs w:val="18"/>
                <w:b w:val="1"/>
                <w:bCs w:val="1"/>
                <w:color w:val="auto"/>
              </w:rPr>
              <w:t>x</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1820" w:type="dxa"/>
            <w:vAlign w:val="bottom"/>
          </w:tcPr>
          <w:p>
            <w:pPr>
              <w:ind w:left="1660"/>
              <w:spacing w:after="0"/>
              <w:rPr>
                <w:sz w:val="20"/>
                <w:szCs w:val="20"/>
                <w:color w:val="auto"/>
              </w:rPr>
            </w:pPr>
            <w:r>
              <w:rPr>
                <w:rFonts w:ascii="Wingdings" w:cs="Wingdings" w:eastAsia="Wingdings" w:hAnsi="Wingdings"/>
                <w:sz w:val="18"/>
                <w:szCs w:val="18"/>
                <w:b w:val="1"/>
                <w:bCs w:val="1"/>
                <w:color w:val="auto"/>
                <w:w w:val="86"/>
              </w:rPr>
              <w:t>o</w:t>
            </w: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460" w:type="dxa"/>
            <w:vAlign w:val="bottom"/>
          </w:tcPr>
          <w:p>
            <w:pPr>
              <w:ind w:left="1160"/>
              <w:spacing w:after="0"/>
              <w:rPr>
                <w:sz w:val="20"/>
                <w:szCs w:val="20"/>
                <w:color w:val="auto"/>
              </w:rPr>
            </w:pPr>
            <w:r>
              <w:rPr>
                <w:rFonts w:ascii="Wingdings" w:cs="Wingdings" w:eastAsia="Wingdings" w:hAnsi="Wingdings"/>
                <w:sz w:val="18"/>
                <w:szCs w:val="18"/>
                <w:b w:val="1"/>
                <w:bCs w:val="1"/>
                <w:color w:val="auto"/>
              </w:rPr>
              <w:t>o</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20" w:type="dxa"/>
            <w:vAlign w:val="bottom"/>
          </w:tcPr>
          <w:p>
            <w:pPr>
              <w:ind w:left="1660"/>
              <w:spacing w:after="0"/>
              <w:rPr>
                <w:sz w:val="20"/>
                <w:szCs w:val="20"/>
                <w:color w:val="auto"/>
              </w:rPr>
            </w:pPr>
            <w:r>
              <w:rPr>
                <w:rFonts w:ascii="Wingdings" w:cs="Wingdings" w:eastAsia="Wingdings" w:hAnsi="Wingdings"/>
                <w:sz w:val="18"/>
                <w:szCs w:val="18"/>
                <w:b w:val="1"/>
                <w:bCs w:val="1"/>
                <w:color w:val="auto"/>
                <w:w w:val="86"/>
              </w:rPr>
              <w:t>o</w:t>
            </w:r>
          </w:p>
        </w:tc>
      </w:tr>
      <w:tr>
        <w:trPr>
          <w:trHeight w:val="243"/>
        </w:trPr>
        <w:tc>
          <w:tcPr>
            <w:tcW w:w="28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20" w:type="dxa"/>
            <w:vAlign w:val="bottom"/>
          </w:tcPr>
          <w:p>
            <w:pPr>
              <w:ind w:left="166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144"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4" w:lineRule="exact"/>
        <w:rPr>
          <w:sz w:val="24"/>
          <w:szCs w:val="24"/>
          <w:color w:val="auto"/>
        </w:rPr>
      </w:pPr>
    </w:p>
    <w:p>
      <w:pPr>
        <w:ind w:right="2040"/>
        <w:spacing w:after="0" w:line="34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tbl>
      <w:tblPr>
        <w:tblLayout w:type="fixed"/>
        <w:tblInd w:w="0" w:type="dxa"/>
        <w:tblCellMar>
          <w:top w:w="0" w:type="dxa"/>
          <w:left w:w="0" w:type="dxa"/>
          <w:bottom w:w="0" w:type="dxa"/>
          <w:right w:w="0" w:type="dxa"/>
        </w:tblCellMar>
      </w:tblPr>
      <w:tr>
        <w:trPr>
          <w:trHeight w:val="238"/>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 at May 1, 2026</w:t>
            </w:r>
          </w:p>
        </w:tc>
      </w:tr>
      <w:tr>
        <w:trPr>
          <w:trHeight w:val="223"/>
        </w:trPr>
        <w:tc>
          <w:tcPr>
            <w:tcW w:w="5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00" w:type="dxa"/>
            <w:vAlign w:val="bottom"/>
            <w:tcBorders>
              <w:top w:val="single" w:sz="8" w:color="CCEEFF"/>
            </w:tcBorders>
            <w:shd w:val="clear" w:color="auto" w:fill="CCEEFF"/>
          </w:tcPr>
          <w:p>
            <w:pPr>
              <w:spacing w:after="0"/>
              <w:rPr>
                <w:sz w:val="19"/>
                <w:szCs w:val="19"/>
                <w:color w:val="auto"/>
              </w:rPr>
            </w:pPr>
          </w:p>
        </w:tc>
        <w:tc>
          <w:tcPr>
            <w:tcW w:w="5580" w:type="dxa"/>
            <w:vAlign w:val="bottom"/>
            <w:tcBorders>
              <w:top w:val="single" w:sz="8" w:color="auto"/>
            </w:tcBorders>
            <w:shd w:val="clear" w:color="auto" w:fill="CCEEFF"/>
          </w:tcPr>
          <w:p>
            <w:pPr>
              <w:jc w:val="right"/>
              <w:ind w:right="2290"/>
              <w:spacing w:after="0"/>
              <w:rPr>
                <w:sz w:val="20"/>
                <w:szCs w:val="20"/>
                <w:color w:val="auto"/>
              </w:rPr>
            </w:pPr>
            <w:r>
              <w:rPr>
                <w:rFonts w:ascii="Times New Roman" w:cs="Times New Roman" w:eastAsia="Times New Roman" w:hAnsi="Times New Roman"/>
                <w:sz w:val="18"/>
                <w:szCs w:val="18"/>
                <w:color w:val="auto"/>
              </w:rPr>
              <w:t>48,543,350</w:t>
            </w:r>
          </w:p>
        </w:tc>
      </w:tr>
      <w:tr>
        <w:trPr>
          <w:trHeight w:val="216"/>
        </w:trPr>
        <w:tc>
          <w:tcPr>
            <w:tcW w:w="5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tcPr>
          <w:p>
            <w:pPr>
              <w:spacing w:after="0"/>
              <w:rPr>
                <w:sz w:val="18"/>
                <w:szCs w:val="18"/>
                <w:color w:val="auto"/>
              </w:rPr>
            </w:pP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r>
      <w:tr>
        <w:trPr>
          <w:trHeight w:val="1013"/>
        </w:trPr>
        <w:tc>
          <w:tcPr>
            <w:tcW w:w="5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060"/>
        </w:trPr>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202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0000FF"/>
            </w:tcBorders>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Item 1. Financial Statements.</w:t>
            </w:r>
          </w:p>
        </w:tc>
        <w:tc>
          <w:tcPr>
            <w:tcW w:w="6760" w:type="dxa"/>
            <w:vAlign w:val="bottom"/>
            <w:tcBorders>
              <w:bottom w:val="single" w:sz="8" w:color="CCEEFF"/>
            </w:tcBorders>
            <w:gridSpan w:val="12"/>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54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Income</w:t>
            </w:r>
          </w:p>
        </w:tc>
        <w:tc>
          <w:tcPr>
            <w:tcW w:w="2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5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2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54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2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5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2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w:t>
            </w: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4380" w:type="dxa"/>
            <w:vAlign w:val="bottom"/>
            <w:tcBorders>
              <w:top w:val="single" w:sz="8" w:color="0000FF"/>
            </w:tcBorders>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160" w:type="dxa"/>
            <w:vAlign w:val="bottom"/>
            <w:tcBorders>
              <w:top w:val="single" w:sz="8" w:color="CCEEFF"/>
            </w:tcBorders>
            <w:gridSpan w:val="4"/>
          </w:tcPr>
          <w:p>
            <w:pPr>
              <w:spacing w:after="0"/>
              <w:rPr>
                <w:sz w:val="16"/>
                <w:szCs w:val="16"/>
                <w:color w:val="auto"/>
              </w:rPr>
            </w:pPr>
          </w:p>
        </w:tc>
        <w:tc>
          <w:tcPr>
            <w:tcW w:w="20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80" w:type="dxa"/>
            <w:vAlign w:val="bottom"/>
            <w:gridSpan w:val="20"/>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w:t>
            </w: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7060" w:type="dxa"/>
            <w:vAlign w:val="bottom"/>
            <w:tcBorders>
              <w:top w:val="single" w:sz="8" w:color="0000FF"/>
            </w:tcBorders>
            <w:gridSpan w:val="19"/>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820" w:type="dxa"/>
            <w:vAlign w:val="bottom"/>
            <w:tcBorders>
              <w:top w:val="single" w:sz="8" w:color="CCEEFF"/>
            </w:tcBorders>
          </w:tcPr>
          <w:p>
            <w:pPr>
              <w:spacing w:after="0"/>
              <w:rPr>
                <w:sz w:val="16"/>
                <w:szCs w:val="16"/>
                <w:color w:val="auto"/>
              </w:rPr>
            </w:pPr>
          </w:p>
        </w:tc>
        <w:tc>
          <w:tcPr>
            <w:tcW w:w="20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80" w:type="dxa"/>
            <w:vAlign w:val="bottom"/>
            <w:gridSpan w:val="20"/>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2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r>
      <w:tr>
        <w:trPr>
          <w:trHeight w:val="270"/>
        </w:trPr>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gridSpan w:val="2"/>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2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92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2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w:t>
            </w:r>
          </w:p>
        </w:tc>
      </w:tr>
      <w:tr>
        <w:trPr>
          <w:trHeight w:val="270"/>
        </w:trPr>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gridSpan w:val="2"/>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2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80" w:type="dxa"/>
            <w:vAlign w:val="bottom"/>
            <w:gridSpan w:val="20"/>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Legal Proceedings.</w:t>
            </w:r>
          </w:p>
        </w:tc>
        <w:tc>
          <w:tcPr>
            <w:tcW w:w="2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w:t>
            </w: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940" w:type="dxa"/>
            <w:vAlign w:val="bottom"/>
            <w:tcBorders>
              <w:top w:val="single" w:sz="8" w:color="0000FF"/>
            </w:tcBorders>
            <w:gridSpan w:val="7"/>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6940" w:type="dxa"/>
            <w:vAlign w:val="bottom"/>
            <w:tcBorders>
              <w:top w:val="single" w:sz="8" w:color="CCEEFF"/>
            </w:tcBorders>
            <w:gridSpan w:val="13"/>
          </w:tcPr>
          <w:p>
            <w:pPr>
              <w:spacing w:after="0"/>
              <w:rPr>
                <w:sz w:val="16"/>
                <w:szCs w:val="16"/>
                <w:color w:val="auto"/>
              </w:rPr>
            </w:pPr>
          </w:p>
        </w:tc>
        <w:tc>
          <w:tcPr>
            <w:tcW w:w="20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960" w:type="dxa"/>
            <w:vAlign w:val="bottom"/>
            <w:tcBorders>
              <w:bottom w:val="single" w:sz="8" w:color="0000FF"/>
            </w:tcBorders>
            <w:gridSpan w:val="1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920" w:type="dxa"/>
            <w:vAlign w:val="bottom"/>
            <w:tcBorders>
              <w:bottom w:val="single" w:sz="8" w:color="CCEEFF"/>
            </w:tcBorders>
            <w:gridSpan w:val="3"/>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48</w:t>
            </w: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80" w:type="dxa"/>
            <w:vAlign w:val="bottom"/>
            <w:gridSpan w:val="20"/>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2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48</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0000FF"/>
            </w:tcBorders>
            <w:gridSpan w:val="10"/>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Item 4. Mine Safety Disclosures.</w:t>
            </w:r>
          </w:p>
        </w:tc>
        <w:tc>
          <w:tcPr>
            <w:tcW w:w="6500" w:type="dxa"/>
            <w:vAlign w:val="bottom"/>
            <w:tcBorders>
              <w:bottom w:val="single" w:sz="8" w:color="CCEEFF"/>
            </w:tcBorders>
            <w:gridSpan w:val="10"/>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48</w:t>
            </w: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80" w:type="dxa"/>
            <w:vAlign w:val="bottom"/>
            <w:gridSpan w:val="20"/>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5. Other Information.</w:t>
            </w:r>
          </w:p>
        </w:tc>
        <w:tc>
          <w:tcPr>
            <w:tcW w:w="2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48</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80" w:type="dxa"/>
            <w:vAlign w:val="bottom"/>
            <w:gridSpan w:val="20"/>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6. Exhibits.</w:t>
            </w:r>
          </w:p>
        </w:tc>
        <w:tc>
          <w:tcPr>
            <w:tcW w:w="2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20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w:t>
            </w:r>
          </w:p>
        </w:tc>
      </w:tr>
      <w:tr>
        <w:trPr>
          <w:trHeight w:val="925"/>
        </w:trPr>
        <w:tc>
          <w:tcPr>
            <w:tcW w:w="2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6120" w:type="dxa"/>
            <w:vAlign w:val="bottom"/>
            <w:gridSpan w:val="16"/>
          </w:tcPr>
          <w:p>
            <w:pPr>
              <w:jc w:val="right"/>
              <w:ind w:right="124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4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0"/>
        </w:trPr>
        <w:tc>
          <w:tcPr>
            <w:tcW w:w="4120" w:type="dxa"/>
            <w:vAlign w:val="bottom"/>
          </w:tcPr>
          <w:p>
            <w:pPr>
              <w:spacing w:after="0"/>
              <w:rPr>
                <w:sz w:val="24"/>
                <w:szCs w:val="24"/>
                <w:color w:val="auto"/>
              </w:rPr>
            </w:pPr>
          </w:p>
        </w:tc>
        <w:tc>
          <w:tcPr>
            <w:tcW w:w="4500" w:type="dxa"/>
            <w:vAlign w:val="bottom"/>
            <w:gridSpan w:val="2"/>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rPr>
              <w:t>Artivion, Inc. and Subsidiaries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8"/>
        </w:trPr>
        <w:tc>
          <w:tcPr>
            <w:tcW w:w="9820" w:type="dxa"/>
            <w:vAlign w:val="bottom"/>
            <w:gridSpan w:val="5"/>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(Loss) Income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4"/>
        </w:trPr>
        <w:tc>
          <w:tcPr>
            <w:tcW w:w="4120" w:type="dxa"/>
            <w:vAlign w:val="bottom"/>
          </w:tcPr>
          <w:p>
            <w:pPr>
              <w:spacing w:after="0"/>
              <w:rPr>
                <w:sz w:val="18"/>
                <w:szCs w:val="18"/>
                <w:color w:val="auto"/>
              </w:rPr>
            </w:pPr>
          </w:p>
        </w:tc>
        <w:tc>
          <w:tcPr>
            <w:tcW w:w="4500" w:type="dxa"/>
            <w:vAlign w:val="bottom"/>
            <w:gridSpan w:val="2"/>
          </w:tcPr>
          <w:p>
            <w:pPr>
              <w:jc w:val="center"/>
              <w:ind w:right="141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Data</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4120" w:type="dxa"/>
            <w:vAlign w:val="bottom"/>
          </w:tcPr>
          <w:p>
            <w:pPr>
              <w:spacing w:after="0"/>
              <w:rPr>
                <w:sz w:val="20"/>
                <w:szCs w:val="20"/>
                <w:color w:val="auto"/>
              </w:rPr>
            </w:pPr>
          </w:p>
        </w:tc>
        <w:tc>
          <w:tcPr>
            <w:tcW w:w="4500" w:type="dxa"/>
            <w:vAlign w:val="bottom"/>
            <w:gridSpan w:val="2"/>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03"/>
        </w:trPr>
        <w:tc>
          <w:tcPr>
            <w:tcW w:w="41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4"/>
          </w:tcPr>
          <w:p>
            <w:pPr>
              <w:jc w:val="right"/>
              <w:ind w:right="55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41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r>
      <w:tr>
        <w:trPr>
          <w:trHeight w:val="225"/>
        </w:trPr>
        <w:tc>
          <w:tcPr>
            <w:tcW w:w="41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4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78,798</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Preservation services</w:t>
            </w:r>
          </w:p>
        </w:tc>
        <w:tc>
          <w:tcPr>
            <w:tcW w:w="4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20,180</w:t>
            </w:r>
          </w:p>
        </w:tc>
      </w:tr>
      <w:tr>
        <w:trPr>
          <w:trHeight w:val="223"/>
        </w:trPr>
        <w:tc>
          <w:tcPr>
            <w:tcW w:w="41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116,337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98,978</w:t>
            </w:r>
          </w:p>
        </w:tc>
      </w:tr>
      <w:tr>
        <w:trPr>
          <w:trHeight w:val="183"/>
        </w:trPr>
        <w:tc>
          <w:tcPr>
            <w:tcW w:w="4120" w:type="dxa"/>
            <w:vAlign w:val="bottom"/>
            <w:shd w:val="clear" w:color="auto" w:fill="CCEEFF"/>
          </w:tcPr>
          <w:p>
            <w:pPr>
              <w:spacing w:after="0"/>
              <w:rPr>
                <w:sz w:val="15"/>
                <w:szCs w:val="15"/>
                <w:color w:val="auto"/>
              </w:rPr>
            </w:pPr>
          </w:p>
        </w:tc>
        <w:tc>
          <w:tcPr>
            <w:tcW w:w="4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products and preservation services:</w:t>
            </w:r>
          </w:p>
        </w:tc>
        <w:tc>
          <w:tcPr>
            <w:tcW w:w="4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4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25,263</w:t>
            </w: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Preservation services</w:t>
            </w:r>
          </w:p>
        </w:tc>
        <w:tc>
          <w:tcPr>
            <w:tcW w:w="4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10,138</w:t>
            </w:r>
          </w:p>
        </w:tc>
      </w:tr>
      <w:tr>
        <w:trPr>
          <w:trHeight w:val="223"/>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cost of products and preservation services</w:t>
            </w:r>
          </w:p>
        </w:tc>
        <w:tc>
          <w:tcPr>
            <w:tcW w:w="4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40,889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35,401</w:t>
            </w:r>
          </w:p>
        </w:tc>
      </w:tr>
      <w:tr>
        <w:trPr>
          <w:trHeight w:val="182"/>
        </w:trPr>
        <w:tc>
          <w:tcPr>
            <w:tcW w:w="41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0"/>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4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75,448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63,577</w:t>
            </w:r>
          </w:p>
        </w:tc>
      </w:tr>
      <w:tr>
        <w:trPr>
          <w:trHeight w:val="183"/>
        </w:trPr>
        <w:tc>
          <w:tcPr>
            <w:tcW w:w="41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administrative, and marketing</w:t>
            </w:r>
          </w:p>
        </w:tc>
        <w:tc>
          <w:tcPr>
            <w:tcW w:w="4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54,704</w:t>
            </w: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w:t>
            </w:r>
          </w:p>
        </w:tc>
      </w:tr>
      <w:tr>
        <w:trPr>
          <w:trHeight w:val="223"/>
        </w:trPr>
        <w:tc>
          <w:tcPr>
            <w:tcW w:w="41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69,661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61,432</w:t>
            </w:r>
          </w:p>
        </w:tc>
      </w:tr>
      <w:tr>
        <w:trPr>
          <w:trHeight w:val="196"/>
        </w:trPr>
        <w:tc>
          <w:tcPr>
            <w:tcW w:w="412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r>
      <w:tr>
        <w:trPr>
          <w:trHeight w:val="223"/>
        </w:trPr>
        <w:tc>
          <w:tcPr>
            <w:tcW w:w="41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2,145</w:t>
            </w:r>
          </w:p>
        </w:tc>
      </w:tr>
      <w:tr>
        <w:trPr>
          <w:trHeight w:val="196"/>
        </w:trPr>
        <w:tc>
          <w:tcPr>
            <w:tcW w:w="412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7,663</w:t>
            </w: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w:t>
            </w:r>
          </w:p>
        </w:tc>
      </w:tr>
      <w:tr>
        <w:trPr>
          <w:trHeight w:val="196"/>
        </w:trPr>
        <w:tc>
          <w:tcPr>
            <w:tcW w:w="412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4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(2,295)</w:t>
            </w: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4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r>
      <w:tr>
        <w:trPr>
          <w:trHeight w:val="196"/>
        </w:trPr>
        <w:tc>
          <w:tcPr>
            <w:tcW w:w="41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9"/>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5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1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per share</w:t>
            </w:r>
          </w:p>
        </w:tc>
        <w:tc>
          <w:tcPr>
            <w:tcW w:w="4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4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4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4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1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4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4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42,232</w:t>
            </w:r>
          </w:p>
        </w:tc>
      </w:tr>
      <w:tr>
        <w:trPr>
          <w:trHeight w:val="230"/>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4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42,232</w:t>
            </w:r>
          </w:p>
        </w:tc>
      </w:tr>
      <w:tr>
        <w:trPr>
          <w:trHeight w:val="216"/>
        </w:trPr>
        <w:tc>
          <w:tcPr>
            <w:tcW w:w="41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5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w:t>
            </w: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4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4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w:t>
            </w:r>
          </w:p>
        </w:tc>
      </w:tr>
      <w:tr>
        <w:trPr>
          <w:trHeight w:val="223"/>
        </w:trPr>
        <w:tc>
          <w:tcPr>
            <w:tcW w:w="41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42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(7,429)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5,826</w:t>
            </w:r>
          </w:p>
        </w:tc>
      </w:tr>
      <w:tr>
        <w:trPr>
          <w:trHeight w:val="20"/>
        </w:trPr>
        <w:tc>
          <w:tcPr>
            <w:tcW w:w="41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Artivion,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80" w:type="dxa"/>
            <w:vAlign w:val="bottom"/>
          </w:tcPr>
          <w:p>
            <w:pPr>
              <w:spacing w:after="0"/>
              <w:rPr>
                <w:sz w:val="16"/>
                <w:szCs w:val="16"/>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8"/>
        </w:trPr>
        <w:tc>
          <w:tcPr>
            <w:tcW w:w="8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64,908</w:t>
            </w:r>
          </w:p>
        </w:tc>
        <w:tc>
          <w:tcPr>
            <w:tcW w:w="0" w:type="dxa"/>
            <w:vAlign w:val="bottom"/>
          </w:tcPr>
          <w:p>
            <w:pPr>
              <w:spacing w:after="0"/>
              <w:rPr>
                <w:sz w:val="1"/>
                <w:szCs w:val="1"/>
                <w:color w:val="auto"/>
              </w:rPr>
            </w:pP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receivables, net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89,758</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13,921</w:t>
            </w:r>
          </w:p>
        </w:tc>
        <w:tc>
          <w:tcPr>
            <w:tcW w:w="0" w:type="dxa"/>
            <w:vAlign w:val="bottom"/>
          </w:tcPr>
          <w:p>
            <w:pPr>
              <w:spacing w:after="0"/>
              <w:rPr>
                <w:sz w:val="1"/>
                <w:szCs w:val="1"/>
                <w:color w:val="auto"/>
              </w:rPr>
            </w:pP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92,427</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preservation costs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54,531</w:t>
            </w:r>
          </w:p>
        </w:tc>
        <w:tc>
          <w:tcPr>
            <w:tcW w:w="0" w:type="dxa"/>
            <w:vAlign w:val="bottom"/>
          </w:tcPr>
          <w:p>
            <w:pPr>
              <w:spacing w:after="0"/>
              <w:rPr>
                <w:sz w:val="1"/>
                <w:szCs w:val="1"/>
                <w:color w:val="auto"/>
              </w:rPr>
            </w:pP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42,537</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357,516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358,082</w:t>
            </w:r>
          </w:p>
        </w:tc>
        <w:tc>
          <w:tcPr>
            <w:tcW w:w="0" w:type="dxa"/>
            <w:vAlign w:val="bottom"/>
          </w:tcPr>
          <w:p>
            <w:pPr>
              <w:spacing w:after="0"/>
              <w:rPr>
                <w:sz w:val="1"/>
                <w:szCs w:val="1"/>
                <w:color w:val="auto"/>
              </w:rPr>
            </w:pPr>
          </w:p>
        </w:tc>
      </w:tr>
      <w:tr>
        <w:trPr>
          <w:trHeight w:val="90"/>
        </w:trPr>
        <w:tc>
          <w:tcPr>
            <w:tcW w:w="8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254,091</w:t>
            </w:r>
          </w:p>
        </w:tc>
        <w:tc>
          <w:tcPr>
            <w:tcW w:w="0" w:type="dxa"/>
            <w:vAlign w:val="bottom"/>
          </w:tcPr>
          <w:p>
            <w:pPr>
              <w:spacing w:after="0"/>
              <w:rPr>
                <w:sz w:val="1"/>
                <w:szCs w:val="1"/>
                <w:color w:val="auto"/>
              </w:rPr>
            </w:pP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Acquired technology, net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123,664</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34,701</w:t>
            </w:r>
          </w:p>
        </w:tc>
        <w:tc>
          <w:tcPr>
            <w:tcW w:w="0" w:type="dxa"/>
            <w:vAlign w:val="bottom"/>
          </w:tcPr>
          <w:p>
            <w:pPr>
              <w:spacing w:after="0"/>
              <w:rPr>
                <w:sz w:val="1"/>
                <w:szCs w:val="1"/>
                <w:color w:val="auto"/>
              </w:rPr>
            </w:pP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64,988</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intangibles,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32,831</w:t>
            </w:r>
          </w:p>
        </w:tc>
        <w:tc>
          <w:tcPr>
            <w:tcW w:w="0" w:type="dxa"/>
            <w:vAlign w:val="bottom"/>
          </w:tcPr>
          <w:p>
            <w:pPr>
              <w:spacing w:after="0"/>
              <w:rPr>
                <w:sz w:val="1"/>
                <w:szCs w:val="1"/>
                <w:color w:val="auto"/>
              </w:rPr>
            </w:pP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15,238</w:t>
            </w:r>
          </w:p>
        </w:tc>
        <w:tc>
          <w:tcPr>
            <w:tcW w:w="0" w:type="dxa"/>
            <w:vAlign w:val="bottom"/>
          </w:tcPr>
          <w:p>
            <w:pPr>
              <w:spacing w:after="0"/>
              <w:rPr>
                <w:sz w:val="1"/>
                <w:szCs w:val="1"/>
                <w:color w:val="auto"/>
              </w:rPr>
            </w:pPr>
          </w:p>
        </w:tc>
      </w:tr>
      <w:tr>
        <w:trPr>
          <w:trHeight w:val="212"/>
        </w:trPr>
        <w:tc>
          <w:tcPr>
            <w:tcW w:w="80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883,157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884,796</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0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16,042</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22,484</w:t>
            </w:r>
          </w:p>
        </w:tc>
        <w:tc>
          <w:tcPr>
            <w:tcW w:w="0" w:type="dxa"/>
            <w:vAlign w:val="bottom"/>
          </w:tcPr>
          <w:p>
            <w:pPr>
              <w:spacing w:after="0"/>
              <w:rPr>
                <w:sz w:val="1"/>
                <w:szCs w:val="1"/>
                <w:color w:val="auto"/>
              </w:rPr>
            </w:pP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16,447</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4,815</w:t>
            </w:r>
          </w:p>
        </w:tc>
        <w:tc>
          <w:tcPr>
            <w:tcW w:w="0" w:type="dxa"/>
            <w:vAlign w:val="bottom"/>
          </w:tcPr>
          <w:p>
            <w:pPr>
              <w:spacing w:after="0"/>
              <w:rPr>
                <w:sz w:val="1"/>
                <w:szCs w:val="1"/>
                <w:color w:val="auto"/>
              </w:rPr>
            </w:pP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payable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7,489</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procurement fees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3,436</w:t>
            </w:r>
          </w:p>
        </w:tc>
        <w:tc>
          <w:tcPr>
            <w:tcW w:w="0" w:type="dxa"/>
            <w:vAlign w:val="bottom"/>
          </w:tcPr>
          <w:p>
            <w:pPr>
              <w:spacing w:after="0"/>
              <w:rPr>
                <w:sz w:val="1"/>
                <w:szCs w:val="1"/>
                <w:color w:val="auto"/>
              </w:rPr>
            </w:pP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contingent consideration</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20,690</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maturities of operating leases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4,649</w:t>
            </w:r>
          </w:p>
        </w:tc>
        <w:tc>
          <w:tcPr>
            <w:tcW w:w="0" w:type="dxa"/>
            <w:vAlign w:val="bottom"/>
          </w:tcPr>
          <w:p>
            <w:pPr>
              <w:spacing w:after="0"/>
              <w:rPr>
                <w:sz w:val="1"/>
                <w:szCs w:val="1"/>
                <w:color w:val="auto"/>
              </w:rPr>
            </w:pP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finance lease obligations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4,778</w:t>
            </w:r>
          </w:p>
        </w:tc>
        <w:tc>
          <w:tcPr>
            <w:tcW w:w="0" w:type="dxa"/>
            <w:vAlign w:val="bottom"/>
          </w:tcPr>
          <w:p>
            <w:pPr>
              <w:spacing w:after="0"/>
              <w:rPr>
                <w:sz w:val="1"/>
                <w:szCs w:val="1"/>
                <w:color w:val="auto"/>
              </w:rPr>
            </w:pPr>
          </w:p>
        </w:tc>
      </w:tr>
      <w:tr>
        <w:trPr>
          <w:trHeight w:val="208"/>
        </w:trPr>
        <w:tc>
          <w:tcPr>
            <w:tcW w:w="80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92,700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101,556</w:t>
            </w:r>
          </w:p>
        </w:tc>
        <w:tc>
          <w:tcPr>
            <w:tcW w:w="0" w:type="dxa"/>
            <w:vAlign w:val="bottom"/>
          </w:tcPr>
          <w:p>
            <w:pPr>
              <w:spacing w:after="0"/>
              <w:rPr>
                <w:sz w:val="1"/>
                <w:szCs w:val="1"/>
                <w:color w:val="auto"/>
              </w:rPr>
            </w:pPr>
          </w:p>
        </w:tc>
      </w:tr>
      <w:tr>
        <w:trPr>
          <w:trHeight w:val="90"/>
        </w:trPr>
        <w:tc>
          <w:tcPr>
            <w:tcW w:w="80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215,114</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contingent consideration</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39,890</w:t>
            </w:r>
          </w:p>
        </w:tc>
        <w:tc>
          <w:tcPr>
            <w:tcW w:w="0" w:type="dxa"/>
            <w:vAlign w:val="bottom"/>
          </w:tcPr>
          <w:p>
            <w:pPr>
              <w:spacing w:after="0"/>
              <w:rPr>
                <w:sz w:val="1"/>
                <w:szCs w:val="1"/>
                <w:color w:val="auto"/>
              </w:rPr>
            </w:pP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maturities of operating leases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34,427</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24,308</w:t>
            </w:r>
          </w:p>
        </w:tc>
        <w:tc>
          <w:tcPr>
            <w:tcW w:w="0" w:type="dxa"/>
            <w:vAlign w:val="bottom"/>
          </w:tcPr>
          <w:p>
            <w:pPr>
              <w:spacing w:after="0"/>
              <w:rPr>
                <w:sz w:val="1"/>
                <w:szCs w:val="1"/>
                <w:color w:val="auto"/>
              </w:rPr>
            </w:pP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 liability</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9,464</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finance lease obligations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0" w:type="dxa"/>
            <w:vAlign w:val="bottom"/>
          </w:tcPr>
          <w:p>
            <w:pPr>
              <w:spacing w:after="0"/>
              <w:rPr>
                <w:sz w:val="1"/>
                <w:szCs w:val="1"/>
                <w:color w:val="auto"/>
              </w:rPr>
            </w:pP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9,107</w:t>
            </w:r>
          </w:p>
        </w:tc>
        <w:tc>
          <w:tcPr>
            <w:tcW w:w="0" w:type="dxa"/>
            <w:vAlign w:val="bottom"/>
          </w:tcPr>
          <w:p>
            <w:pPr>
              <w:spacing w:after="0"/>
              <w:rPr>
                <w:sz w:val="1"/>
                <w:szCs w:val="1"/>
                <w:color w:val="auto"/>
              </w:rPr>
            </w:pPr>
          </w:p>
        </w:tc>
      </w:tr>
      <w:tr>
        <w:trPr>
          <w:trHeight w:val="237"/>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432,690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436,564</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8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8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per share, 5,000 shares authorized, no shares issued</w:t>
            </w: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0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$0.01 par value per share, 75,000 shares authorized, 49,983 and 49,330 shares issued as of March 31, 2026</w:t>
            </w:r>
          </w:p>
        </w:tc>
        <w:tc>
          <w:tcPr>
            <w:tcW w:w="2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December 31, 2025, respectively</w:t>
            </w:r>
          </w:p>
        </w:tc>
        <w:tc>
          <w:tcPr>
            <w:tcW w:w="2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526,261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516,604</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deficit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(51,498)</w:t>
            </w:r>
          </w:p>
        </w:tc>
        <w:tc>
          <w:tcPr>
            <w:tcW w:w="0" w:type="dxa"/>
            <w:vAlign w:val="bottom"/>
          </w:tcPr>
          <w:p>
            <w:pPr>
              <w:spacing w:after="0"/>
              <w:rPr>
                <w:sz w:val="1"/>
                <w:szCs w:val="1"/>
                <w:color w:val="auto"/>
              </w:rPr>
            </w:pP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at cost, 1,487 shares as of March 31, 2026 and December 31, 2025</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(14,648)</w:t>
            </w:r>
          </w:p>
        </w:tc>
        <w:tc>
          <w:tcPr>
            <w:tcW w:w="0" w:type="dxa"/>
            <w:vAlign w:val="bottom"/>
          </w:tcPr>
          <w:p>
            <w:pPr>
              <w:spacing w:after="0"/>
              <w:rPr>
                <w:sz w:val="1"/>
                <w:szCs w:val="1"/>
                <w:color w:val="auto"/>
              </w:rPr>
            </w:pPr>
          </w:p>
        </w:tc>
      </w:tr>
      <w:tr>
        <w:trPr>
          <w:trHeight w:val="208"/>
        </w:trPr>
        <w:tc>
          <w:tcPr>
            <w:tcW w:w="80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450,467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448,232</w:t>
            </w:r>
          </w:p>
        </w:tc>
        <w:tc>
          <w:tcPr>
            <w:tcW w:w="0" w:type="dxa"/>
            <w:vAlign w:val="bottom"/>
          </w:tcPr>
          <w:p>
            <w:pPr>
              <w:spacing w:after="0"/>
              <w:rPr>
                <w:sz w:val="1"/>
                <w:szCs w:val="1"/>
                <w:color w:val="auto"/>
              </w:rPr>
            </w:pPr>
          </w:p>
        </w:tc>
      </w:tr>
      <w:tr>
        <w:trPr>
          <w:trHeight w:val="90"/>
        </w:trPr>
        <w:tc>
          <w:tcPr>
            <w:tcW w:w="80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883,157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884,796</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ectPr>
          <w:pgSz w:w="11900" w:h="16838" w:orient="portrait"/>
          <w:cols w:equalWidth="0" w:num="1">
            <w:col w:w="11220"/>
          </w:cols>
          <w:pgMar w:left="320" w:top="1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822"/>
        </w:trPr>
        <w:tc>
          <w:tcPr>
            <w:tcW w:w="1280" w:type="dxa"/>
            <w:vAlign w:val="bottom"/>
            <w:tcBorders>
              <w:top w:val="single" w:sz="8" w:color="0000FF"/>
            </w:tcBorders>
          </w:tcPr>
          <w:p>
            <w:pPr>
              <w:spacing w:after="0"/>
              <w:rPr>
                <w:sz w:val="24"/>
                <w:szCs w:val="24"/>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Artivion, Inc. and Subsidiaries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8"/>
        </w:trPr>
        <w:tc>
          <w:tcPr>
            <w:tcW w:w="1280" w:type="dxa"/>
            <w:vAlign w:val="bottom"/>
          </w:tcPr>
          <w:p>
            <w:pPr>
              <w:spacing w:after="0"/>
              <w:rPr>
                <w:sz w:val="18"/>
                <w:szCs w:val="18"/>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4"/>
        </w:trPr>
        <w:tc>
          <w:tcPr>
            <w:tcW w:w="1280" w:type="dxa"/>
            <w:vAlign w:val="bottom"/>
          </w:tcPr>
          <w:p>
            <w:pPr>
              <w:spacing w:after="0"/>
              <w:rPr>
                <w:sz w:val="18"/>
                <w:szCs w:val="18"/>
                <w:color w:val="auto"/>
              </w:rPr>
            </w:pPr>
          </w:p>
        </w:tc>
        <w:tc>
          <w:tcPr>
            <w:tcW w:w="6900" w:type="dxa"/>
            <w:vAlign w:val="bottom"/>
          </w:tcPr>
          <w:p>
            <w:pPr>
              <w:jc w:val="center"/>
              <w:ind w:left="17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3"/>
        </w:trPr>
        <w:tc>
          <w:tcPr>
            <w:tcW w:w="128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gridSpan w:val="4"/>
          </w:tcPr>
          <w:p>
            <w:pPr>
              <w:jc w:val="right"/>
              <w:ind w:right="63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12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r>
      <w:tr>
        <w:trPr>
          <w:trHeight w:val="225"/>
        </w:trPr>
        <w:tc>
          <w:tcPr>
            <w:tcW w:w="1280" w:type="dxa"/>
            <w:vAlign w:val="bottom"/>
            <w:tcBorders>
              <w:bottom w:val="single" w:sz="8" w:color="CCEEFF"/>
            </w:tcBorders>
          </w:tcPr>
          <w:p>
            <w:pPr>
              <w:spacing w:after="0"/>
              <w:rPr>
                <w:sz w:val="19"/>
                <w:szCs w:val="19"/>
                <w:color w:val="auto"/>
              </w:rPr>
            </w:pPr>
          </w:p>
        </w:tc>
        <w:tc>
          <w:tcPr>
            <w:tcW w:w="69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148"/>
        </w:trPr>
        <w:tc>
          <w:tcPr>
            <w:tcW w:w="8180" w:type="dxa"/>
            <w:vAlign w:val="bottom"/>
            <w:gridSpan w:val="2"/>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from operating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w:t>
            </w: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Non-cash compensation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8,045</w:t>
            </w:r>
          </w:p>
        </w:tc>
      </w:tr>
      <w:tr>
        <w:trPr>
          <w:trHeight w:val="230"/>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Non-cash lease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Write-down of inventories and deferred preservation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Receivables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w:t>
            </w: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Inventories and deferred preservation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r>
      <w:tr>
        <w:trPr>
          <w:trHeight w:val="230"/>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9"/>
        </w:trPr>
        <w:tc>
          <w:tcPr>
            <w:tcW w:w="81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(16,054)</w:t>
            </w: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provided by (used in)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(16,953)</w:t>
            </w:r>
          </w:p>
        </w:tc>
      </w:tr>
      <w:tr>
        <w:trPr>
          <w:trHeight w:val="128"/>
        </w:trPr>
        <w:tc>
          <w:tcPr>
            <w:tcW w:w="128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from 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w:t>
            </w:r>
          </w:p>
        </w:tc>
      </w:tr>
      <w:tr>
        <w:trPr>
          <w:trHeight w:val="230"/>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Payments related to sale of non-financial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Payments for Endospan agreements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(3,638)</w:t>
            </w:r>
          </w:p>
        </w:tc>
      </w:tr>
      <w:tr>
        <w:trPr>
          <w:trHeight w:val="128"/>
        </w:trPr>
        <w:tc>
          <w:tcPr>
            <w:tcW w:w="128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from financing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Repayment of debt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exercise of stock options and issuance of common stock</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Principal payments on short-term notes payable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3"/>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provided by financing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3,937</w:t>
            </w:r>
          </w:p>
        </w:tc>
      </w:tr>
      <w:tr>
        <w:trPr>
          <w:trHeight w:val="129"/>
        </w:trPr>
        <w:tc>
          <w:tcPr>
            <w:tcW w:w="1280" w:type="dxa"/>
            <w:vAlign w:val="bottom"/>
            <w:shd w:val="clear" w:color="auto" w:fill="CCEEFF"/>
          </w:tcPr>
          <w:p>
            <w:pPr>
              <w:spacing w:after="0"/>
              <w:rPr>
                <w:sz w:val="11"/>
                <w:szCs w:val="11"/>
                <w:color w:val="auto"/>
              </w:rPr>
            </w:pPr>
          </w:p>
        </w:tc>
        <w:tc>
          <w:tcPr>
            <w:tcW w:w="69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(15,770)</w:t>
            </w:r>
          </w:p>
        </w:tc>
      </w:tr>
      <w:tr>
        <w:trPr>
          <w:trHeight w:val="162"/>
        </w:trPr>
        <w:tc>
          <w:tcPr>
            <w:tcW w:w="818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53,463</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55,764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37,693</w:t>
            </w:r>
          </w:p>
        </w:tc>
      </w:tr>
      <w:tr>
        <w:trPr>
          <w:trHeight w:val="20"/>
        </w:trPr>
        <w:tc>
          <w:tcPr>
            <w:tcW w:w="12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Artivion,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100" w:type="dxa"/>
            <w:vAlign w:val="bottom"/>
            <w:gridSpan w:val="3"/>
            <w:vMerge w:val="restart"/>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5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2"/>
            <w:vMerge w:val="continue"/>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5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1100" w:type="dxa"/>
            <w:vAlign w:val="bottom"/>
            <w:gridSpan w:val="3"/>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7"/>
                <w:szCs w:val="17"/>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8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49,330</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w:t>
            </w:r>
          </w:p>
        </w:tc>
        <w:tc>
          <w:tcPr>
            <w:tcW w:w="200" w:type="dxa"/>
            <w:vAlign w:val="bottom"/>
            <w:tcBorders>
              <w:top w:val="single" w:sz="8" w:color="CCEEFF"/>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516,604</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7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$(51,498)</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(2,719)</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(1,487)</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$(14,648)</w:t>
            </w:r>
          </w:p>
        </w:tc>
        <w:tc>
          <w:tcPr>
            <w:tcW w:w="280" w:type="dxa"/>
            <w:vAlign w:val="bottom"/>
            <w:tcBorders>
              <w:top w:val="single" w:sz="8" w:color="CCEEFF"/>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49,983</w:t>
            </w: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526,261</w:t>
            </w:r>
          </w:p>
        </w:tc>
        <w:tc>
          <w:tcPr>
            <w:tcW w:w="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$(50,081)</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(11,565)</w:t>
            </w:r>
          </w:p>
        </w:tc>
        <w:tc>
          <w:tcPr>
            <w:tcW w:w="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(1,487)</w:t>
            </w:r>
          </w:p>
        </w:tc>
        <w:tc>
          <w:tcPr>
            <w:tcW w:w="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$(14,648)</w:t>
            </w:r>
          </w:p>
        </w:tc>
        <w:tc>
          <w:tcPr>
            <w:tcW w:w="28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450,467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1"/>
        </w:trPr>
        <w:tc>
          <w:tcPr>
            <w:tcW w:w="4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100" w:type="dxa"/>
            <w:vAlign w:val="bottom"/>
            <w:gridSpan w:val="3"/>
            <w:vMerge w:val="restart"/>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5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2"/>
            <w:vMerge w:val="continue"/>
          </w:tcPr>
          <w:p>
            <w:pPr>
              <w:spacing w:after="0"/>
              <w:rPr>
                <w:sz w:val="12"/>
                <w:szCs w:val="12"/>
                <w:color w:val="auto"/>
              </w:rPr>
            </w:pPr>
          </w:p>
        </w:tc>
        <w:tc>
          <w:tcPr>
            <w:tcW w:w="10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5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4000" w:type="dxa"/>
            <w:vAlign w:val="bottom"/>
          </w:tcPr>
          <w:p>
            <w:pPr>
              <w:spacing w:after="0"/>
              <w:rPr>
                <w:sz w:val="17"/>
                <w:szCs w:val="17"/>
                <w:color w:val="auto"/>
              </w:rPr>
            </w:pPr>
          </w:p>
        </w:tc>
        <w:tc>
          <w:tcPr>
            <w:tcW w:w="1100" w:type="dxa"/>
            <w:vAlign w:val="bottom"/>
            <w:gridSpan w:val="3"/>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7"/>
                <w:szCs w:val="17"/>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8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43,432</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w:t>
            </w:r>
          </w:p>
        </w:tc>
        <w:tc>
          <w:tcPr>
            <w:tcW w:w="200" w:type="dxa"/>
            <w:vAlign w:val="bottom"/>
            <w:tcBorders>
              <w:top w:val="single" w:sz="8" w:color="CCEEFF"/>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376,607</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7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$(61,266)</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(24,927)</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(1,487)</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$(14,648)</w:t>
            </w:r>
          </w:p>
        </w:tc>
        <w:tc>
          <w:tcPr>
            <w:tcW w:w="280" w:type="dxa"/>
            <w:vAlign w:val="bottom"/>
            <w:tcBorders>
              <w:top w:val="single" w:sz="8" w:color="CCEEFF"/>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44,190</w:t>
            </w: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388,825</w:t>
            </w:r>
          </w:p>
        </w:tc>
        <w:tc>
          <w:tcPr>
            <w:tcW w:w="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$(61,771)</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(18,596)</w:t>
            </w:r>
          </w:p>
        </w:tc>
        <w:tc>
          <w:tcPr>
            <w:tcW w:w="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(1,487)</w:t>
            </w:r>
          </w:p>
        </w:tc>
        <w:tc>
          <w:tcPr>
            <w:tcW w:w="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$(14,648)</w:t>
            </w:r>
          </w:p>
        </w:tc>
        <w:tc>
          <w:tcPr>
            <w:tcW w:w="28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294,252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gridSpan w:val="2"/>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Artivion,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Artivion, Inc. and its subsidiaries (“Artivion,” the “Company,” “we,” or “us”). All significant intercompany accounts and transactions have been eliminated in consolidation. The accompanying Consolidated Balance Sheet as of December 31, 2025 has been derived from audited financial statements. The accompanying unaudited Condensed Consolidated Financial Statements as of, and for the three months ended, March 31, 2026 and 2025 have been prepared in accordance with (i) accounting principles generally accepted in the United States of America (“US GAAP”) for interim financial information and (ii) the instructions to Form 10-Q and Rule 10-01 of Regulation S-X of the US Securities and Exchange Commission (the “SEC”). Accordingly, such statements do not include all the information and disclosures that are required by US GAAP for a complete presentation of financial statements. In the opinion of management, all adjustments (including those of a normal, recurring nature) considered necessary for a fair presentation have been included. Operating results for the three months ended March 31, 2026 are not necessarily indicative of the results that may be expected for the year ending December 31, 2026. These Condensed Consolidated Financial Statements should be read in conjunction with the Consolidated Financial Statements and Notes included in Artivion’s Annual Report on Form 10-K for the year ended December 31, 2025 filed with the SEC on February 18, 2026.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Assets and liabilities of international subsidiaries whose functional currency is the local currency are translated at the rate of exchange in effect on the balance sheet date; income and expenses are translated at the average exchange rates throughout the year. Foreign currency exchange rate realized and unrealized gains and losses resulting from transactions are included in Other expense (income), net in our Condensed Consolidated Statements of Operations and Comprehensive (Loss) Income and resulted in a net loss of </w:t>
      </w:r>
      <w:r>
        <w:rPr>
          <w:rFonts w:ascii="Times New Roman" w:cs="Times New Roman" w:eastAsia="Times New Roman" w:hAnsi="Times New Roman"/>
          <w:sz w:val="18"/>
          <w:szCs w:val="18"/>
          <w:color w:val="212529"/>
        </w:rPr>
        <w:t>$0.8 million</w:t>
      </w:r>
      <w:r>
        <w:rPr>
          <w:rFonts w:ascii="Times New Roman" w:cs="Times New Roman" w:eastAsia="Times New Roman" w:hAnsi="Times New Roman"/>
          <w:sz w:val="18"/>
          <w:szCs w:val="18"/>
          <w:color w:val="auto"/>
        </w:rPr>
        <w:t xml:space="preserve"> and a </w:t>
      </w:r>
      <w:r>
        <w:rPr>
          <w:rFonts w:ascii="Times New Roman" w:cs="Times New Roman" w:eastAsia="Times New Roman" w:hAnsi="Times New Roman"/>
          <w:sz w:val="18"/>
          <w:szCs w:val="18"/>
          <w:color w:val="212529"/>
        </w:rPr>
        <w:t>net gain of $2.9 million</w:t>
      </w:r>
      <w:r>
        <w:rPr>
          <w:rFonts w:ascii="Times New Roman" w:cs="Times New Roman" w:eastAsia="Times New Roman" w:hAnsi="Times New Roman"/>
          <w:sz w:val="18"/>
          <w:szCs w:val="18"/>
          <w:color w:val="auto"/>
        </w:rPr>
        <w:t xml:space="preserve"> for the three months ended March 31, 2026 and 2025, respectively. Currency translation adjustments resulting from intra-entity loans that are of a long-term investment nature, net of tax, are included in Accumulated other comprehensive loss and resulted in a net loss of </w:t>
      </w:r>
      <w:r>
        <w:rPr>
          <w:rFonts w:ascii="Times New Roman" w:cs="Times New Roman" w:eastAsia="Times New Roman" w:hAnsi="Times New Roman"/>
          <w:sz w:val="18"/>
          <w:szCs w:val="18"/>
          <w:color w:val="212529"/>
        </w:rPr>
        <w:t>$7.4 million and</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color w:val="212529"/>
        </w:rPr>
        <w:t>net</w:t>
      </w:r>
      <w:r>
        <w:rPr>
          <w:rFonts w:ascii="Times New Roman" w:cs="Times New Roman" w:eastAsia="Times New Roman" w:hAnsi="Times New Roman"/>
          <w:sz w:val="18"/>
          <w:szCs w:val="18"/>
          <w:color w:val="auto"/>
        </w:rPr>
        <w:t xml:space="preserve"> gain </w:t>
      </w:r>
      <w:r>
        <w:rPr>
          <w:rFonts w:ascii="Times New Roman" w:cs="Times New Roman" w:eastAsia="Times New Roman" w:hAnsi="Times New Roman"/>
          <w:sz w:val="18"/>
          <w:szCs w:val="18"/>
          <w:color w:val="212529"/>
        </w:rPr>
        <w:t>of</w:t>
      </w:r>
      <w:r>
        <w:rPr>
          <w:rFonts w:ascii="Times New Roman" w:cs="Times New Roman" w:eastAsia="Times New Roman" w:hAnsi="Times New Roman"/>
          <w:sz w:val="18"/>
          <w:szCs w:val="18"/>
          <w:color w:val="auto"/>
        </w:rPr>
        <w:t xml:space="preserve"> $3.8 million for the three months ended March 31, 2026 and 2025</w:t>
      </w:r>
      <w:r>
        <w:rPr>
          <w:rFonts w:ascii="Times New Roman" w:cs="Times New Roman" w:eastAsia="Times New Roman" w:hAnsi="Times New Roman"/>
          <w:sz w:val="18"/>
          <w:szCs w:val="18"/>
          <w:color w:val="212529"/>
        </w:rPr>
        <w:t>, respectively</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summary of our significant accounting policies is included in Note 1 of the “Notes to Consolidated Financial Statements” contained in our Form 10-K for the year ended December 31, 2025. Management believes that the consistent application of these policies enables us to provide users of the financial statements with useful and reliable information about our operating results and financial condition. The Condensed Consolidated Financial Statements are prepared in accordance with US GAAP, which require us to make estimates and assumptions. We did not experience any significant changes during the three months ended March 31, 2026 in any of our Significant Accounting Policies from those contained in our Form 10-K for the year ended December 31, 2025.</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No. 2025-05 – Financial Instruments – Credit Losses (Topic 326): Measurement of Credit Losses for Accounts Receivable and Contract Assets, which provides a practical expedient for estimating expected credit losses on current accounts receivable and current contract assets arising from transactions accounted for under Topic 606 – Revenue from Contracts with Customers. Under this practical expedient, entities may assume that current conditions as of the balance sheet date do not change for the remaining life of the asset. The updated standard is effective for financial statements issued for fiscal years beginning after December 15, 2025. We adopted ASU 2025-05 on a prospective basis effective January 1, 2026. The adoption of ASU 2025-05 did not have a material impact on our financial condition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Effective</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Intangibles—Goodwill and Other—Internal-Use Software (Subtopic 350-40): Targeted Improvements to the Accounting for Internal-Use Software, which modernizes the accounting for internal-use software costs under Subtopic 350-40. The amendments remove references to prescriptive and sequential software development stages and clarify when entities begin capitalizing internal-use software costs. The updated standard is effective for financial statements issued for fiscal years beginning after December 15, 2027. We are currently evaluating the impacts of the new standard.</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to improve the disclosures about a public business entity’s expenses for more detailed information about the types of expenses in commonly presented expense captions such as cost of sales; selling, general, and administrative expenses; and research and development. The updated accounting guidance, among other things, requires quantitative disclosures for employee compensation, selling expenses, and purchases of inventory. The updated guidance is effective for financial statements issued for fiscal years beginning after December 15, 2026. We are currently evaluating the impacts of the new standard.</w:t>
      </w:r>
    </w:p>
    <w:p>
      <w:pPr>
        <w:spacing w:after="0" w:line="1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Sale of PerClot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July 28, 2021 we entered into an asset purchase agreement, Transitional Manufacturing and Supply Agreement (“TMSA”), and other ancillary agreements related to the sale of PerClot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polysaccharide hemostatic agent used in surgery (“PerClot”), to a subsidiary of Baxter International, Inc. (“Baxter”) and an agreement to terminate all of our material agreements with Starch Medical, Inc. (“SMI”) related to PerClot (collectively the “Baxter Transaction”). Under the terms of the Baxter Transaction, Baxter will pay an aggregate of up to $54.5 million in consideration (we will receive up to $41.0 million and SMI will receive up to $13.5 million), consisting of (i) $25.0 million at closing, of which $6.0 million was paid to SMI; (ii) $18.8 million upon our receipt of Premarket Approval (“PMA”) from the US Food and Drug Administration (the “FDA”) for PerClot and our transfer of the PMA to Baxter, of which $4.5 million was paid to SMI; and (iii) up to $10.0 million upon Baxter’s achievement of certain cumulative worldwide net sales of PerClot prior to December 31, 2026 and December 31, 2027, of which up to $3.0 million is payable to SMI. In addition, at the conclusion of our manufacturing and supply services for Baxter, Baxter will pay $0.8 million upon transfer of our PerClot manufacturing equipment. Under the terms of the Baxter Transaction, we will continue to provide to Baxter certain transition services relating to the sale of SMI PerClot outside of the US. Within the terms of the TMSA, we will manufacture and supply PerClot for Baxter post PMA for a contractual period. The TMSA has been extended for an additional 24-month term and will expire in February 2027.</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PerClot PMA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receipt of the PMA in May 2023, under the terms of the TMSA, we began manufacturing and supplying PerClot for Baxter and recorded $0.6 million and $0.8 million of PerClot revenues on the Condensed Consolidated Statements of Operations and Comprehensive (Loss) Income during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PerClot Sales Milestone</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During the second half of 2025, upon Baxter’s achievement of certain cumulative worldwide net sales of PerClot, we recorded a pre-tax gain of $7.0 million included as Gain from sale of non-financial assets within the Consolidated Statements of Operations and Comprehensive Income (Loss) for the year</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ended December 31, 2025. The gain is comprised of a cash payment of $5.0 million from Baxter, a receivable of $5.0 million due from Baxter, and a payable of $3.0 million due to SMI. The receivable and payable are reflected in Other receivables and Other current liabilities, respectively, in the Consolidated Balance Sheets as of December 31, 2025. Pursuant to the terms of the Baxter Transaction, we made a payment of $1.5 million to SMI in January 2026 in connection with Baxter’s achievement of the PerClot sales milestone. As of </w:t>
      </w:r>
      <w:r>
        <w:rPr>
          <w:rFonts w:ascii="Times New Roman" w:cs="Times New Roman" w:eastAsia="Times New Roman" w:hAnsi="Times New Roman"/>
          <w:sz w:val="18"/>
          <w:szCs w:val="18"/>
          <w:color w:val="212529"/>
        </w:rPr>
        <w:t>March 31, 2026, $1.5 million remained payable to SMI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$5.0 million was receivable from Baxter, which were reflected in Other current liabilities and Other receivables, respectively, in the Condensed Consolidated Balance Sheets.</w:t>
      </w:r>
    </w:p>
    <w:p>
      <w:pPr>
        <w:spacing w:after="0" w:line="1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Agreements with Endospan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September 11, 2019 Artivion’s wholly owned subsidiary, </w:t>
      </w:r>
      <w:r>
        <w:rPr>
          <w:rFonts w:ascii="Times New Roman" w:cs="Times New Roman" w:eastAsia="Times New Roman" w:hAnsi="Times New Roman"/>
          <w:sz w:val="18"/>
          <w:szCs w:val="18"/>
          <w:color w:val="212529"/>
        </w:rPr>
        <w:t>JOTEC, entered into an exclusive distribution agreement (“Endospan Distribution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Agreement”) with Endospan Ltd. (“Endospan”), an Israeli corporation, pursuant to which JOTEC obtained exclusive distribution rights for NEXUS ONE, and under subsequent amendments, the NEXUS DUO and NEXUS TRE </w:t>
      </w:r>
      <w:r>
        <w:rPr>
          <w:rFonts w:ascii="Times New Roman" w:cs="Times New Roman" w:eastAsia="Times New Roman" w:hAnsi="Times New Roman"/>
          <w:sz w:val="18"/>
          <w:szCs w:val="18"/>
          <w:color w:val="000000"/>
        </w:rPr>
        <w:t>(collectively the “NEXUS family of products”)</w:t>
      </w:r>
      <w:r>
        <w:rPr>
          <w:rFonts w:ascii="Times New Roman" w:cs="Times New Roman" w:eastAsia="Times New Roman" w:hAnsi="Times New Roman"/>
          <w:sz w:val="18"/>
          <w:szCs w:val="18"/>
          <w:color w:val="212529"/>
        </w:rPr>
        <w:t xml:space="preserve"> and accessories in certain countries in Europe in exchange for a fixed distribution fee of $9.0 million paid in September 2019. The Endospan Distribution Agreement was fully amortized as of December 31, 2024.</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 xml:space="preserve">Additionally, we entered into a loan agreement to provide Endospan a secured loan of up to $15.0 million (“Endospan Loan”) and </w:t>
      </w:r>
      <w:r>
        <w:rPr>
          <w:rFonts w:ascii="Times New Roman" w:cs="Times New Roman" w:eastAsia="Times New Roman" w:hAnsi="Times New Roman"/>
          <w:sz w:val="18"/>
          <w:szCs w:val="18"/>
          <w:color w:val="000000"/>
        </w:rPr>
        <w:t>a securities purchase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option agreement (“Endospan Option”) with Endospan for </w:t>
      </w:r>
      <w:r>
        <w:rPr>
          <w:rFonts w:ascii="Times New Roman" w:cs="Times New Roman" w:eastAsia="Times New Roman" w:hAnsi="Times New Roman"/>
          <w:sz w:val="18"/>
          <w:szCs w:val="18"/>
          <w:color w:val="212529"/>
        </w:rPr>
        <w:t>$1.0 million</w:t>
      </w:r>
      <w:r>
        <w:rPr>
          <w:rFonts w:ascii="Times New Roman" w:cs="Times New Roman" w:eastAsia="Times New Roman" w:hAnsi="Times New Roman"/>
          <w:sz w:val="18"/>
          <w:szCs w:val="18"/>
          <w:color w:val="000000"/>
        </w:rPr>
        <w:t xml:space="preserve"> paid in </w:t>
      </w:r>
      <w:r>
        <w:rPr>
          <w:rFonts w:ascii="Times New Roman" w:cs="Times New Roman" w:eastAsia="Times New Roman" w:hAnsi="Times New Roman"/>
          <w:sz w:val="18"/>
          <w:szCs w:val="18"/>
          <w:color w:val="212529"/>
        </w:rPr>
        <w:t>September 2019</w:t>
      </w:r>
      <w:r>
        <w:rPr>
          <w:rFonts w:ascii="Times New Roman" w:cs="Times New Roman" w:eastAsia="Times New Roman" w:hAnsi="Times New Roman"/>
          <w:sz w:val="18"/>
          <w:szCs w:val="18"/>
          <w:color w:val="000000"/>
        </w:rPr>
        <w:t xml:space="preserve">. The Endospan Option Agreement, prior to amendment described below, provides Artivion the option to purchase all the outstanding securities of Endospan from Endospan’s securityholders at the time of acquisition, or the option to acquire all of Endospan’s assets, in each case, for a price between $350.0 and </w:t>
      </w:r>
      <w:r>
        <w:rPr>
          <w:rFonts w:ascii="Times New Roman" w:cs="Times New Roman" w:eastAsia="Times New Roman" w:hAnsi="Times New Roman"/>
          <w:sz w:val="18"/>
          <w:szCs w:val="18"/>
          <w:color w:val="212529"/>
        </w:rPr>
        <w:t>$450.0 million</w:t>
      </w:r>
      <w:r>
        <w:rPr>
          <w:rFonts w:ascii="Times New Roman" w:cs="Times New Roman" w:eastAsia="Times New Roman" w:hAnsi="Times New Roman"/>
          <w:sz w:val="18"/>
          <w:szCs w:val="18"/>
          <w:color w:val="000000"/>
        </w:rPr>
        <w:t xml:space="preserve"> before, or within a certain period of time after FDA approval of NEXUS, with such option expiring if not </w:t>
      </w:r>
      <w:r>
        <w:rPr>
          <w:rFonts w:ascii="Times New Roman" w:cs="Times New Roman" w:eastAsia="Times New Roman" w:hAnsi="Times New Roman"/>
          <w:sz w:val="18"/>
          <w:szCs w:val="18"/>
          <w:color w:val="212529"/>
        </w:rPr>
        <w:t>exercised</w:t>
      </w:r>
      <w:r>
        <w:rPr>
          <w:rFonts w:ascii="Times New Roman" w:cs="Times New Roman" w:eastAsia="Times New Roman" w:hAnsi="Times New Roman"/>
          <w:sz w:val="18"/>
          <w:szCs w:val="18"/>
          <w:color w:val="000000"/>
        </w:rPr>
        <w:t xml:space="preserve"> within 90 days after receiving notice that Endospan has received approval from the FDA for NEXUS.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July 1, 2024 Artivion and Endospan entered into an amendment to the Endospan Option (“Endospan Option Amendment”) which amended the terms of the previously existing Endospan Option. Under the terms of the Endospan Option Amendment, the price to acquire all of Endospan’s outstanding securities from Endospan’s securityholders at the time of acquisition, or the option to acquire all of Endospan’s assets under the Endospan Option was reduced from </w:t>
      </w:r>
      <w:r>
        <w:rPr>
          <w:rFonts w:ascii="Times New Roman" w:cs="Times New Roman" w:eastAsia="Times New Roman" w:hAnsi="Times New Roman"/>
          <w:sz w:val="18"/>
          <w:szCs w:val="18"/>
          <w:color w:val="212529"/>
        </w:rPr>
        <w:t>$250.0 million</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color w:val="212529"/>
        </w:rPr>
        <w:t>$175.0 million</w:t>
      </w:r>
      <w:r>
        <w:rPr>
          <w:rFonts w:ascii="Times New Roman" w:cs="Times New Roman" w:eastAsia="Times New Roman" w:hAnsi="Times New Roman"/>
          <w:sz w:val="18"/>
          <w:szCs w:val="18"/>
          <w:color w:val="auto"/>
        </w:rPr>
        <w:t xml:space="preserve">, resulting in an upfront acquisition purchase price of </w:t>
      </w:r>
      <w:r>
        <w:rPr>
          <w:rFonts w:ascii="Times New Roman" w:cs="Times New Roman" w:eastAsia="Times New Roman" w:hAnsi="Times New Roman"/>
          <w:sz w:val="18"/>
          <w:szCs w:val="18"/>
          <w:color w:val="212529"/>
        </w:rPr>
        <w:t>$135.0 million</w:t>
      </w:r>
      <w:r>
        <w:rPr>
          <w:rFonts w:ascii="Times New Roman" w:cs="Times New Roman" w:eastAsia="Times New Roman" w:hAnsi="Times New Roman"/>
          <w:sz w:val="18"/>
          <w:szCs w:val="18"/>
          <w:color w:val="auto"/>
        </w:rPr>
        <w:t xml:space="preserve">, inclusive of the loan off-set. There is no longer a minimum earnout payment of $100.0 million and the maximum earnout payment of </w:t>
      </w:r>
      <w:r>
        <w:rPr>
          <w:rFonts w:ascii="Times New Roman" w:cs="Times New Roman" w:eastAsia="Times New Roman" w:hAnsi="Times New Roman"/>
          <w:sz w:val="18"/>
          <w:szCs w:val="18"/>
          <w:color w:val="212529"/>
        </w:rPr>
        <w:t>$200.0 million</w:t>
      </w:r>
      <w:r>
        <w:rPr>
          <w:rFonts w:ascii="Times New Roman" w:cs="Times New Roman" w:eastAsia="Times New Roman" w:hAnsi="Times New Roman"/>
          <w:sz w:val="18"/>
          <w:szCs w:val="18"/>
          <w:color w:val="auto"/>
        </w:rPr>
        <w:t xml:space="preserve"> remains the same. As described in more detail below, </w:t>
      </w:r>
      <w:r>
        <w:rPr>
          <w:rFonts w:ascii="Times New Roman" w:cs="Times New Roman" w:eastAsia="Times New Roman" w:hAnsi="Times New Roman"/>
          <w:sz w:val="18"/>
          <w:szCs w:val="18"/>
          <w:color w:val="212529"/>
        </w:rPr>
        <w:t>we also entered into an amendment to the Endospan Loan (the “Endospan Loan Amendment”) whereby we agreed to fund Endospan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additional secured loans of up to $25.0 million (“Additional Endospan Loan” and together with the Endospan Loan, the “Endospan Loans”).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Valuation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The agreements with Endospan were entered into concurrently and had certain terms that are interrelated. In our evaluation of the initial relative fair value of each of the Endospan agreements to determine the amount to record, we utilized discounted cash flows to estimate the fair market value for the Endospan Loan and for the Endospan Distribution Agreement. We estimated the fair value of the Endospan Option utilizing a Monte Carlo simulation model. Inputs in our valuation of the Endospan agreements included cash payments and anticipated payments based on the executed agreements with Endospan, projected discounted cash flows in connection with the Endospan transaction, our expected internal rate of return and discount rates, and our assessed probability and timing of receipt of certification of certain approvals and milestones in obtaining FDA approval.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Endospan Option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 xml:space="preserve">In July 2024, in conjunction with the </w:t>
      </w:r>
      <w:r>
        <w:rPr>
          <w:rFonts w:ascii="Times New Roman" w:cs="Times New Roman" w:eastAsia="Times New Roman" w:hAnsi="Times New Roman"/>
          <w:sz w:val="18"/>
          <w:szCs w:val="18"/>
          <w:color w:val="000000"/>
        </w:rPr>
        <w:t>Endospan Option Amendment,</w:t>
      </w:r>
      <w:r>
        <w:rPr>
          <w:rFonts w:ascii="Times New Roman" w:cs="Times New Roman" w:eastAsia="Times New Roman" w:hAnsi="Times New Roman"/>
          <w:sz w:val="18"/>
          <w:szCs w:val="18"/>
          <w:color w:val="212529"/>
        </w:rPr>
        <w:t xml:space="preserve"> we performed a fair value measurement utilizing a Monte Carlo simulation model and determined that the value of the Endospan Option was $3.1 million. </w:t>
      </w:r>
      <w:r>
        <w:rPr>
          <w:rFonts w:ascii="Times New Roman" w:cs="Times New Roman" w:eastAsia="Times New Roman" w:hAnsi="Times New Roman"/>
          <w:sz w:val="18"/>
          <w:szCs w:val="18"/>
          <w:color w:val="000000"/>
        </w:rPr>
        <w:t>The Endospan Option was valued at</w:t>
      </w:r>
      <w:r>
        <w:rPr>
          <w:rFonts w:ascii="Times New Roman" w:cs="Times New Roman" w:eastAsia="Times New Roman" w:hAnsi="Times New Roman"/>
          <w:sz w:val="18"/>
          <w:szCs w:val="18"/>
          <w:color w:val="212529"/>
        </w:rPr>
        <w:t xml:space="preserve"> $3.1 million as of March 31, 2026 and December 31, 2025, which is reflected in Other current assets in the Condensed Consolidated Balance Sheets.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 xml:space="preserve">In April 2026 the FDA approved the PMA for the NEXUS® Aortic Arch System. On May 7, 2026, following such approval, we elected to exercise the option to acquire Endospan pursuant to the Endospan Option Amendment. We will fund the upfront </w:t>
      </w:r>
      <w:r>
        <w:rPr>
          <w:rFonts w:ascii="Times New Roman" w:cs="Times New Roman" w:eastAsia="Times New Roman" w:hAnsi="Times New Roman"/>
          <w:sz w:val="18"/>
          <w:szCs w:val="18"/>
          <w:color w:val="000000"/>
        </w:rPr>
        <w:t>purchase price of</w:t>
      </w:r>
      <w:r>
        <w:rPr>
          <w:rFonts w:ascii="Times New Roman" w:cs="Times New Roman" w:eastAsia="Times New Roman" w:hAnsi="Times New Roman"/>
          <w:sz w:val="18"/>
          <w:szCs w:val="18"/>
          <w:color w:val="212529"/>
        </w:rPr>
        <w:t xml:space="preserve"> $135.0 million using proceeds from the New Delayed Draw Term Loan Facility, as described in Note </w:t>
      </w:r>
      <w:r>
        <w:rPr>
          <w:rFonts w:ascii="Times New Roman" w:cs="Times New Roman" w:eastAsia="Times New Roman" w:hAnsi="Times New Roman"/>
          <w:sz w:val="18"/>
          <w:szCs w:val="18"/>
          <w:color w:val="000000"/>
        </w:rPr>
        <w:t>8</w:t>
      </w:r>
      <w:r>
        <w:rPr>
          <w:rFonts w:ascii="Times New Roman" w:cs="Times New Roman" w:eastAsia="Times New Roman" w:hAnsi="Times New Roman"/>
          <w:sz w:val="18"/>
          <w:szCs w:val="18"/>
          <w:color w:val="212529"/>
        </w:rPr>
        <w:t xml:space="preserve"> – “Debt” in Part I, Item 1 of this Form 10-Q.</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Endospan Loans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Artivion and Endospan also entered into a loan agreement (the “Endospan Loan”), dated September 11, 2019, in which Artivion agreed to provide Endospan a secured loan of up to $15.0 million to be funded in three tranches of $5.0 million each </w:t>
      </w:r>
      <w:r>
        <w:rPr>
          <w:rFonts w:ascii="Times New Roman" w:cs="Times New Roman" w:eastAsia="Times New Roman" w:hAnsi="Times New Roman"/>
          <w:sz w:val="18"/>
          <w:szCs w:val="18"/>
          <w:color w:val="212529"/>
        </w:rPr>
        <w:t>in 2019, 2020, and 2023, respectively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We elected the fair value option for recording the Endospan Loan. We assess the fair value of the Endospan Loan based on quantitative and qualitative characteristics, and adjust the amount recorded to its current fair market value at each reporting period. </w:t>
      </w:r>
      <w:r>
        <w:rPr>
          <w:rFonts w:ascii="Times New Roman" w:cs="Times New Roman" w:eastAsia="Times New Roman" w:hAnsi="Times New Roman"/>
          <w:sz w:val="18"/>
          <w:szCs w:val="18"/>
          <w:color w:val="000000"/>
        </w:rPr>
        <w:t>We performed assessments of the fair value of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Endospan Loan in previous periods and determined that the Endospan Loan had </w:t>
      </w:r>
      <w:r>
        <w:rPr>
          <w:rFonts w:ascii="Times New Roman" w:cs="Times New Roman" w:eastAsia="Times New Roman" w:hAnsi="Times New Roman"/>
          <w:sz w:val="18"/>
          <w:szCs w:val="18"/>
          <w:color w:val="212529"/>
        </w:rPr>
        <w:t>no fair value. After entering into the Endospan Loan Amendment in July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2024, we determined that the Endospan Loan had a fair value of $0.8 million as of March 31, 2026 and December 31, 2025.</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 xml:space="preserve">As a part of the Endospan Loan Amendment, Artivion agreed to fund the Additional Endospan Loan up to $25.0 million. The Additional Endospan Loan is contracted to be funded in three tranches of $7.0 million, $10.0 million, and $8.0 million, subject to Endospan’s achievement of milestones related to its pursuit of regulatory approval for NEXUS ONE that are specified in the Endospan Loan Amendment. The first two tranches totaling $17.0 million were funded during the </w:t>
      </w:r>
      <w:r>
        <w:rPr>
          <w:rFonts w:ascii="Times New Roman" w:cs="Times New Roman" w:eastAsia="Times New Roman" w:hAnsi="Times New Roman"/>
          <w:sz w:val="18"/>
          <w:szCs w:val="18"/>
          <w:color w:val="000000"/>
        </w:rPr>
        <w:t>year ended December 31, 2024</w:t>
      </w:r>
      <w:r>
        <w:rPr>
          <w:rFonts w:ascii="Times New Roman" w:cs="Times New Roman" w:eastAsia="Times New Roman" w:hAnsi="Times New Roman"/>
          <w:sz w:val="18"/>
          <w:szCs w:val="18"/>
          <w:color w:val="212529"/>
        </w:rPr>
        <w:t>. The third tranche of $8.0 million was funded in November 2025. We performed a fair value assessment of the Additional Endospan Loan and determined that the fair value was $19.6 million and $19.1 million as of March 31, 2026 and December 31, 2025, respectively, which is reflected in Other current assets in the Condensed Consolidated Balance Sheets.</w:t>
      </w:r>
    </w:p>
    <w:p>
      <w:pPr>
        <w:spacing w:after="0" w:line="1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instruments measured at fair value was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8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30"/>
        </w:trPr>
        <w:tc>
          <w:tcPr>
            <w:tcW w:w="5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24,304</w:t>
            </w:r>
          </w:p>
        </w:tc>
      </w:tr>
      <w:tr>
        <w:trPr>
          <w:trHeight w:val="230"/>
        </w:trPr>
        <w:tc>
          <w:tcPr>
            <w:tcW w:w="5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29"/>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Endospan Loans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20,402</w:t>
            </w:r>
          </w:p>
        </w:tc>
      </w:tr>
      <w:tr>
        <w:trPr>
          <w:trHeight w:val="248"/>
        </w:trPr>
        <w:tc>
          <w:tcPr>
            <w:tcW w:w="5080" w:type="dxa"/>
            <w:vAlign w:val="bottom"/>
            <w:tcBorders>
              <w:top w:val="single" w:sz="8" w:color="CCEEFF"/>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45,800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21,490</w:t>
            </w:r>
          </w:p>
        </w:tc>
      </w:tr>
      <w:tr>
        <w:trPr>
          <w:trHeight w:val="230"/>
        </w:trPr>
        <w:tc>
          <w:tcPr>
            <w:tcW w:w="5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Non-current contingent consideration</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40,830</w:t>
            </w:r>
          </w:p>
        </w:tc>
      </w:tr>
      <w:tr>
        <w:trPr>
          <w:trHeight w:val="223"/>
        </w:trPr>
        <w:tc>
          <w:tcPr>
            <w:tcW w:w="508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62,320</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62,320</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98"/>
        </w:trPr>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2"/>
        </w:trPr>
        <w:tc>
          <w:tcPr>
            <w:tcW w:w="4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8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9"/>
        </w:trPr>
        <w:tc>
          <w:tcPr>
            <w:tcW w:w="5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20,725</w:t>
            </w:r>
          </w:p>
        </w:tc>
      </w:tr>
      <w:tr>
        <w:trPr>
          <w:trHeight w:val="230"/>
        </w:trPr>
        <w:tc>
          <w:tcPr>
            <w:tcW w:w="5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29"/>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Endospan Loans</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19,872</w:t>
            </w:r>
          </w:p>
        </w:tc>
      </w:tr>
      <w:tr>
        <w:trPr>
          <w:trHeight w:val="248"/>
        </w:trPr>
        <w:tc>
          <w:tcPr>
            <w:tcW w:w="5140" w:type="dxa"/>
            <w:vAlign w:val="bottom"/>
            <w:tcBorders>
              <w:top w:val="single" w:sz="8" w:color="CCEEFF"/>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41,677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20,690</w:t>
            </w:r>
          </w:p>
        </w:tc>
      </w:tr>
      <w:tr>
        <w:trPr>
          <w:trHeight w:val="229"/>
        </w:trPr>
        <w:tc>
          <w:tcPr>
            <w:tcW w:w="5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Non-current contingent consideration</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39,890</w:t>
            </w:r>
          </w:p>
        </w:tc>
      </w:tr>
      <w:tr>
        <w:trPr>
          <w:trHeight w:val="223"/>
        </w:trPr>
        <w:tc>
          <w:tcPr>
            <w:tcW w:w="51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60,580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60,580</w:t>
            </w:r>
          </w:p>
        </w:tc>
      </w:tr>
      <w:tr>
        <w:trPr>
          <w:trHeight w:val="20"/>
        </w:trPr>
        <w:tc>
          <w:tcPr>
            <w:tcW w:w="4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used prices quoted from our investment advisors to determine the Level 1 valuation of our investments in money market funds and certificates of deposit. The estimated market value of all cash equivalents is equal to the cost basis as there were no gross realized gains or losses on cash equivalents for the three months ended March 31, 2026 and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 2020 we entered into a Securities Purchase Agreement to acquire 100% of the outstanding equity interests of Ascyrus Medical LLC (“Ascyrus”). Ascyrus developed the Ascyrus Medical Dissection Stent hybrid prosthesis (“AMDS”), the world’s first aortic arch remodeling device for use in the treatment of acute Type A aortic dissections. As part of the acquisition, we may be required to pay additional consideration in cash of up to $100.0 million to the former shareholders of Ascyrus upon the achievement of certain milestones and the sales-based additional earnout.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contingent consideration represents the estimated fair value of future potential payments. The fair value of the contingent consideration liability was estimated by discounting to present value the contingent payments expected to be made based on a probability-weighted scenario approach. We applied a discount rate based on our unsecured credit spread and the term commensurate risk-free rate to the additional consideration to be paid, and then applied a risk-based estimate of the probability of achieving each scenario to calculate the fair value of the contingent consideration. This fair value measurement was based on unobservable inputs, including management estimates and assumptions about the future achievement of milestones and future estimate of revenues, and is, therefore, classified as Level 3 within the fair value hierarchy. We used a discount rate of approximately 17% and estimated future achievement of milestone dates to calculate the fair value of contingent consideration as of March 31, 2026. We remeasure this liability at each reporting date and record changes in the fair value of the contingent consideration in General, administrative, and marketing expenses in the Condensed Consolidated Statements of Operations and Comprehensive (Loss) Income. Increases or decreases in the fair value of the contingent consideration liability can result from changes in the passage of time, discount rates, the timing and amount of our revenue estimates, and the timing and expectation of regulatory approvals.</w:t>
      </w:r>
    </w:p>
    <w:p>
      <w:pPr>
        <w:spacing w:after="0" w:line="17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We perform quarterly assessments of the fair value of the contingent consideration and recorded a net fair value loss of $1.7 million and a net fair value gain of $2.8 million for the three months ended March 31, 2026 and 2025, respectively, in General, administrative, and marketing expenses in the Condensed Consolidated Statements of Operations and Comprehensive (Loss) Income. The $1.7 million increase in the fair value of liability for the three months ended March 31, 2026 was primarily due to the passage of time. The contingent consideration liability reflected in the Condensed Consolidated Balance Sheets as of March 31, 2026 was $62.3 million, of which $21.5 million was included in current liabilities. The $21.5 million represents the fair value of the $25.0 million contingent payment associated with FDA approval of the PMA application, which is expected to be achieved in mid-2026. The contingent consideration liability reflected in the Consolidated Balance Sheets as of </w:t>
      </w:r>
      <w:r>
        <w:rPr>
          <w:rFonts w:ascii="Times New Roman" w:cs="Times New Roman" w:eastAsia="Times New Roman" w:hAnsi="Times New Roman"/>
          <w:sz w:val="18"/>
          <w:szCs w:val="18"/>
          <w:color w:val="212529"/>
        </w:rPr>
        <w:t>December 31, 2025</w:t>
      </w:r>
      <w:r>
        <w:rPr>
          <w:rFonts w:ascii="Times New Roman" w:cs="Times New Roman" w:eastAsia="Times New Roman" w:hAnsi="Times New Roman"/>
          <w:sz w:val="18"/>
          <w:szCs w:val="18"/>
          <w:color w:val="auto"/>
        </w:rPr>
        <w:t xml:space="preserve"> was $60.6 million.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contingent consideration component of the Ascyrus acquisition and Endospan Loans were updated using Level 3 inputs. Changes in fair value of Level 3 assets and liabilities are listed in the tables below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r>
      <w:tr>
        <w:trPr>
          <w:trHeight w:val="241"/>
        </w:trPr>
        <w:tc>
          <w:tcPr>
            <w:tcW w:w="96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Consideration</w:t>
            </w:r>
          </w:p>
        </w:tc>
      </w:tr>
      <w:tr>
        <w:trPr>
          <w:trHeight w:val="225"/>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60,580</w:t>
            </w:r>
          </w:p>
        </w:tc>
      </w:tr>
      <w:tr>
        <w:trPr>
          <w:trHeight w:val="230"/>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valuation</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62,320</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541"/>
        </w:trPr>
        <w:tc>
          <w:tcPr>
            <w:tcW w:w="96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Endospan Loans</w:t>
            </w:r>
          </w:p>
        </w:tc>
      </w:tr>
      <w:tr>
        <w:trPr>
          <w:trHeight w:val="22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19,872</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valuation</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20,402</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determination of fair value and the assessment of a measurement’s placement within the hierarchy requires judgment. Level 3 valuations often involve a higher degree of judgment and complexity. Although we believe that the recorded fair values of our financial instruments are appropriate, these fair values may not be reflective of future fair values.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Inventories and Deferred Preservation Costs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23"/>
        </w:trPr>
        <w:tc>
          <w:tcPr>
            <w:tcW w:w="8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36,355</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17,133</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38,939</w:t>
            </w:r>
          </w:p>
        </w:tc>
      </w:tr>
      <w:tr>
        <w:trPr>
          <w:trHeight w:val="223"/>
        </w:trPr>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97,995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92,427</w:t>
            </w:r>
          </w:p>
        </w:tc>
      </w:tr>
      <w:tr>
        <w:trPr>
          <w:trHeight w:val="20"/>
        </w:trPr>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facilitate product usage, we maintain consignment inventory of On-X heart valves at domestic hospital locations and On-X heart valves, aortic stent grafts, and AMDS products at international hospital locations. We retain title and control over this consignment inventory until we receive a notification of implantation, at which time we invoice the hospital and recognize revenue. As of March 31, 2026 we had $15.6 million in consignment inventory, with approximately 36% in domestic locations and 64% in international locations. As of December 31, 2025 we had $14.9 million in consignment inventory, with approximately 33% in domestic locations and 67% in foreign locations.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deferred preservation costs were $53.4 million and $54.5 million as of March 31, 2026 and December 31, 2025, respectively.</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Goodwill and Other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 Lived Intangible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values of our indefinite lived intangible assets were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180" w:type="dxa"/>
            <w:vAlign w:val="bottom"/>
            <w:tcBorders>
              <w:bottom w:val="single" w:sz="8" w:color="CCEEFF"/>
            </w:tcBorders>
          </w:tcPr>
          <w:p>
            <w:pPr>
              <w:spacing w:after="0"/>
              <w:rPr>
                <w:sz w:val="21"/>
                <w:szCs w:val="21"/>
                <w:color w:val="auto"/>
              </w:rPr>
            </w:pPr>
          </w:p>
        </w:tc>
        <w:tc>
          <w:tcPr>
            <w:tcW w:w="39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9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254,091</w:t>
            </w:r>
          </w:p>
        </w:tc>
      </w:tr>
      <w:tr>
        <w:trPr>
          <w:trHeight w:val="23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R&amp;D</w:t>
            </w: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4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Procurement contracts and agreements</w:t>
            </w:r>
          </w:p>
        </w:tc>
        <w:tc>
          <w:tcPr>
            <w:tcW w:w="3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r>
      <w:tr>
        <w:trPr>
          <w:trHeight w:val="918"/>
        </w:trPr>
        <w:tc>
          <w:tcPr>
            <w:tcW w:w="4180" w:type="dxa"/>
            <w:vAlign w:val="bottom"/>
          </w:tcPr>
          <w:p>
            <w:pPr>
              <w:spacing w:after="0"/>
              <w:rPr>
                <w:sz w:val="24"/>
                <w:szCs w:val="24"/>
                <w:color w:val="auto"/>
              </w:rPr>
            </w:pPr>
          </w:p>
        </w:tc>
        <w:tc>
          <w:tcPr>
            <w:tcW w:w="392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01"/>
        </w:trPr>
        <w:tc>
          <w:tcPr>
            <w:tcW w:w="4180" w:type="dxa"/>
            <w:vAlign w:val="bottom"/>
            <w:tcBorders>
              <w:bottom w:val="single" w:sz="8" w:color="9A9A9A"/>
            </w:tcBorders>
          </w:tcPr>
          <w:p>
            <w:pPr>
              <w:spacing w:after="0"/>
              <w:rPr>
                <w:sz w:val="8"/>
                <w:szCs w:val="8"/>
                <w:color w:val="auto"/>
              </w:rPr>
            </w:pPr>
          </w:p>
        </w:tc>
        <w:tc>
          <w:tcPr>
            <w:tcW w:w="3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monitor the phases of development of our acquired in-process research and development projects, including the risks associated with further development and the amount and timing of benefits expected to be derived from the completed projects. Incremental costs associated with development are charged to expense as incurred. Capitalized costs are amortized over the estimated useful life of the developed asset once completed. Our in-process research and development projects are reviewed for impairment annually, or more frequently, if events or changes in circumstances indicate that the asset might be impaired. We evaluate our goodwill and indefinite lived intangible assets for impairment on an annual basis during the fourth quarter of the year, and, if necessary, during interim periods if factors indicate that an impairment review is warranted. We did not record any impairment of indefinite lived intangible assets, including goodwill, during the three months ended March 31, 2026. In-process research and development, procurement contracts and agreements are included in Other intangibles, net in the Condensed Consolidated Balance Sheets as of March 31, 2026 and December 31, 2025.</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our experience with similar agreements, we believe that our acquired procurement contracts and agreements have indefinite useful lives, as we expect to continue to renew these contracts for the foreseeable future.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value of our goodwill, all of which was related to our Medical Devices segment, were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94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254,091</w:t>
            </w:r>
          </w:p>
        </w:tc>
      </w:tr>
      <w:tr>
        <w:trPr>
          <w:trHeight w:val="239"/>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w:t>
            </w:r>
          </w:p>
        </w:tc>
      </w:tr>
      <w:tr>
        <w:trPr>
          <w:trHeight w:val="252"/>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251,660</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Definite Lived Intangible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definite lived intangible assets balance includes balances related to acquired technology, customer relationships, distribution and manufacturing rights and know-how, patents, and other definite lived intangible assets. The major intangible asset classes consist of the following (in thousands, except weighted average useful life):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60" w:type="dxa"/>
            <w:vAlign w:val="bottom"/>
          </w:tcPr>
          <w:p>
            <w:pPr>
              <w:spacing w:after="0"/>
              <w:rPr>
                <w:sz w:val="18"/>
                <w:szCs w:val="18"/>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8"/>
                <w:szCs w:val="18"/>
                <w:color w:val="auto"/>
              </w:rPr>
            </w:pPr>
          </w:p>
        </w:tc>
        <w:tc>
          <w:tcPr>
            <w:tcW w:w="14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89"/>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59"/>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2"/>
                <w:szCs w:val="22"/>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6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2"/>
                <w:szCs w:val="22"/>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0" w:type="dxa"/>
            <w:vAlign w:val="bottom"/>
          </w:tcPr>
          <w:p>
            <w:pPr>
              <w:spacing w:after="0"/>
              <w:rPr>
                <w:sz w:val="1"/>
                <w:szCs w:val="1"/>
                <w:color w:val="auto"/>
              </w:rPr>
            </w:pPr>
          </w:p>
        </w:tc>
      </w:tr>
      <w:tr>
        <w:trPr>
          <w:trHeight w:val="243"/>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Acquired technology</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206,300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86,299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120,001</w:t>
            </w:r>
          </w:p>
        </w:tc>
        <w:tc>
          <w:tcPr>
            <w:tcW w:w="8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0" w:type="dxa"/>
            <w:vAlign w:val="bottom"/>
          </w:tcPr>
          <w:p>
            <w:pPr>
              <w:spacing w:after="0"/>
              <w:rPr>
                <w:sz w:val="1"/>
                <w:szCs w:val="1"/>
                <w:color w:val="auto"/>
              </w:rPr>
            </w:pPr>
          </w:p>
        </w:tc>
      </w:tr>
      <w:tr>
        <w:trPr>
          <w:trHeight w:val="241"/>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intangibles: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Customer lists and relationships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15,439</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9"/>
        </w:trPr>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Patents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47"/>
        </w:trPr>
        <w:tc>
          <w:tcPr>
            <w:tcW w:w="5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8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Other intangibles,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49,870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19,239</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30,631</w:t>
            </w:r>
          </w:p>
        </w:tc>
        <w:tc>
          <w:tcPr>
            <w:tcW w:w="8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0" w:type="dxa"/>
            <w:vAlign w:val="bottom"/>
          </w:tcPr>
          <w:p>
            <w:pPr>
              <w:spacing w:after="0"/>
              <w:rPr>
                <w:sz w:val="1"/>
                <w:szCs w:val="1"/>
                <w:color w:val="auto"/>
              </w:rPr>
            </w:pPr>
          </w:p>
        </w:tc>
      </w:tr>
      <w:tr>
        <w:trPr>
          <w:trHeight w:val="23"/>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1"/>
        </w:trPr>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60" w:type="dxa"/>
            <w:vAlign w:val="bottom"/>
          </w:tcPr>
          <w:p>
            <w:pPr>
              <w:spacing w:after="0"/>
              <w:rPr>
                <w:sz w:val="24"/>
                <w:szCs w:val="24"/>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24"/>
                <w:szCs w:val="24"/>
                <w:color w:val="auto"/>
              </w:rPr>
            </w:pPr>
          </w:p>
        </w:tc>
        <w:tc>
          <w:tcPr>
            <w:tcW w:w="14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89"/>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59"/>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2"/>
                <w:szCs w:val="22"/>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6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2"/>
                <w:szCs w:val="22"/>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0" w:type="dxa"/>
            <w:vAlign w:val="bottom"/>
          </w:tcPr>
          <w:p>
            <w:pPr>
              <w:spacing w:after="0"/>
              <w:rPr>
                <w:sz w:val="1"/>
                <w:szCs w:val="1"/>
                <w:color w:val="auto"/>
              </w:rPr>
            </w:pPr>
          </w:p>
        </w:tc>
      </w:tr>
      <w:tr>
        <w:trPr>
          <w:trHeight w:val="243"/>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Acquired technology</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208,235</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84,571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123,664</w:t>
            </w:r>
          </w:p>
        </w:tc>
        <w:tc>
          <w:tcPr>
            <w:tcW w:w="8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0" w:type="dxa"/>
            <w:vAlign w:val="bottom"/>
          </w:tcPr>
          <w:p>
            <w:pPr>
              <w:spacing w:after="0"/>
              <w:rPr>
                <w:sz w:val="1"/>
                <w:szCs w:val="1"/>
                <w:color w:val="auto"/>
              </w:rPr>
            </w:pPr>
          </w:p>
        </w:tc>
      </w:tr>
      <w:tr>
        <w:trPr>
          <w:trHeight w:val="241"/>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intangibles: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Customer lists and relationships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15,796</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9"/>
        </w:trPr>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Patents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47"/>
        </w:trPr>
        <w:tc>
          <w:tcPr>
            <w:tcW w:w="5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11,596</w:t>
            </w:r>
          </w:p>
        </w:tc>
        <w:tc>
          <w:tcPr>
            <w:tcW w:w="8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Other intangibles,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52,063</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23,536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28,527</w:t>
            </w:r>
          </w:p>
        </w:tc>
        <w:tc>
          <w:tcPr>
            <w:tcW w:w="8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0" w:type="dxa"/>
            <w:vAlign w:val="bottom"/>
          </w:tcPr>
          <w:p>
            <w:pPr>
              <w:spacing w:after="0"/>
              <w:rPr>
                <w:sz w:val="1"/>
                <w:szCs w:val="1"/>
                <w:color w:val="auto"/>
              </w:rPr>
            </w:pPr>
          </w:p>
        </w:tc>
      </w:tr>
      <w:tr>
        <w:trPr>
          <w:trHeight w:val="23"/>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recorded in General, administrative, and marketing expenses in our Condensed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(Loss) Income was as follows (in thousands):</w:t>
      </w:r>
    </w:p>
    <w:p>
      <w:pPr>
        <w:spacing w:after="0" w:line="24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4445</wp:posOffset>
            </wp:positionV>
            <wp:extent cx="19456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ind w:left="8740"/>
        <w:spacing w:after="0"/>
        <w:tabs>
          <w:tab w:leader="none" w:pos="1030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8180" w:val="left"/>
          <w:tab w:leader="none" w:pos="9180" w:val="left"/>
          <w:tab w:leader="none" w:pos="9760" w:val="left"/>
          <w:tab w:leader="none" w:pos="10740" w:val="left"/>
        </w:tabs>
        <w:rPr>
          <w:sz w:val="20"/>
          <w:szCs w:val="20"/>
          <w:color w:val="auto"/>
        </w:rPr>
      </w:pPr>
      <w:r>
        <w:rPr>
          <w:rFonts w:ascii="Times New Roman" w:cs="Times New Roman" w:eastAsia="Times New Roman" w:hAnsi="Times New Roman"/>
          <w:sz w:val="18"/>
          <w:szCs w:val="18"/>
          <w:color w:val="auto"/>
        </w:rPr>
        <w:t>Amortization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3,911</w:t>
        <w:tab/>
        <w:t>$</w:t>
      </w:r>
      <w:r>
        <w:rPr>
          <w:sz w:val="20"/>
          <w:szCs w:val="20"/>
          <w:color w:val="auto"/>
        </w:rPr>
        <w:tab/>
      </w:r>
      <w:r>
        <w:rPr>
          <w:rFonts w:ascii="Times New Roman" w:cs="Times New Roman" w:eastAsia="Times New Roman" w:hAnsi="Times New Roman"/>
          <w:sz w:val="17"/>
          <w:szCs w:val="17"/>
          <w:color w:val="auto"/>
        </w:rPr>
        <w:t>3,388</w:t>
      </w:r>
    </w:p>
    <w:p>
      <w:pPr>
        <w:spacing w:after="0" w:line="31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8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Our effective income tax rate was a benefit of 318% and 78% for the three months ended March 31, 2026 and 2025, respectively. The effective income tax rate for the three months ended March 31, 2026 was primarily impacted by excess tax deductions on stock-based compensation, partially offset by state income taxes, non-deductible executive compensation, and changes in our valuation allowance against net deferred tax assets.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have reflected the impact of the enactment in our results for the three months ended March 31, 2026.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Debt</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Debt consists of the following (in thousands):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23"/>
        </w:trPr>
        <w:tc>
          <w:tcPr>
            <w:tcW w:w="8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8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r>
      <w:tr>
        <w:trPr>
          <w:trHeight w:val="23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41"/>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principal debt</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220,000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220,000</w:t>
            </w:r>
          </w:p>
        </w:tc>
      </w:tr>
      <w:tr>
        <w:trPr>
          <w:trHeight w:val="243"/>
        </w:trPr>
        <w:tc>
          <w:tcPr>
            <w:tcW w:w="808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Less: Unamortized debt issuance costs</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r>
      <w:tr>
        <w:trPr>
          <w:trHeight w:val="236"/>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215,352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215,114</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4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8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215,352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215,114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8"/>
        <w:spacing w:after="0" w:line="271" w:lineRule="auto"/>
        <w:tabs>
          <w:tab w:leader="none" w:pos="209"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unamortized debt issuance costs totaling $1.5 million related to the Revolving Credit Facility are included in “Other long-term assets” in the Condensed Consolidated Balance Sheets as of March 31, 2026 and December 31, 2025. Additional unamortized debt issuance costs totaling $1.1 million related to the New Delayed Draw Term Loan Facility are included in “Other long-term assets” in the Condensed Consolidated Balance Sheets as of March 31, 2026 and December 31, 2025 as a result of the Amendment discussed below.</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liquidity needs arise from the funding of our cost of operations and capital expenditures and from debt service on our indebtedness. We believe that cash generated from operations, together with amounts available under our Term Loan Facilities, as defined below, will be adequate to permit us to meet our obligations over the next twelve months from the date of this report.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18, 2024 we entered into a credit and guaranty agreement with Ares Management Credit funds for $350.0 million of senior secured, interest-only, credit facilities, consisting of a $190.0 million secured term loan facility (the “Term Loan Facility”), a $100.0 million secured delayed draw term loan facility (the “Delayed Draw Term Loan Facility” and, together with the Term Loan Facility, the “Term Loan Facilities”) and a $60.0 million “senior-priority” secured revolving credit facility which has a priority claim ahead of the other secured facilities (the “Revolving Credit Facility” and, together with the Term Loan Facilities, the “Credit Facilities”). Upon closing, we borrowed $190.0 million under the Term Loan Facility and $30.0 million under the Revolving Credit Facility. The proceeds of the borrowings were used along with cash on hand to pay off our previously existing credit agreement and pay related fees and expenses.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remaining $30.0 million of undrawn availability under the Revolving Credit Facility as of March 31, 2026 may be drawn for working capital, capital expenditures, and other general corporate purposes. The Delayed Draw Term Loan Facility remained undrawn and was terminated on July 2, 2025 as we entered into separate, privately negotiated exchange agreements with the Holders of the Convertible Senior Notes as discussed below.</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12, 2025 (the “Second Amendment Effective Date”) we entered into a Second Amendment to the credit and guaranty agreement (the “Amendment”), with Ares Management Credit funds, which amends the credit and guaranty agreement dated as of January 18, 2024. The Amendment provides for (i) an extension of the maturity date of the existing term loans (the “Existing Term Loan Facility”) and the existing revolving credit facility (the “Existing Revolving Credit Facility”) under the Credit Agreement by one year to January 18, 2031, (ii) a reduction in the interest rate margin applicable to the Existing Term Loan Facility and the Existing Revolving Credit Facility and (iii) a new $150.0 million secured delayed draw term loan facility (the “New Delayed Draw Term Loan Facility” and, together with the Existing Term Loan Facility, the “Term Loan Facilities”).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satisfaction of a specified maximum total net leverage ratio and other customary conditions, we may borrow under the New Delayed Draw Term Loan Facility at any time and from time to time on or prior to September 12, 2027. The proceeds of borrowings under the New Delayed Draw Term Loan Facility may be used to fund permitted acquisitions (including any earnouts and other similar payments in connection therewith), other investments permitted by the Credit Agreement and capital expenditures, among other things. Loans borrowed under the New Delayed Draw Term Loan Facility will have the same terms and interest rate margins as the loans under the Existing Term Loan Facility.</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May 2026, in connection with our election to exercise the Endospan Option, we borrowed $150.0 million under the New Delayed Draw Term Loan Facility, of which $135.0 million will be used to fund the upfront purchase price for the acquisition of Endospan. See Part I, Item 1, Note 3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“Agreements with Endospan” for further discussion of the Endospan Option acquisition.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Ranking; Guarantees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Facilities are secured by a security interest in substantially all existing and after-acquired real and personal property (subject to certain exceptions and exclusions) of us and the Guarantors.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Maturity and Prepayment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final scheduled maturity date of the amended Credit Facilities is January 18, 2031. There are no scheduled repayments of principal required to be made prior to the final maturity date. We have the right to prepay loans under the Credit Agreement in whole or in part at any time, provided that any prepayment of loans under the Term Loan Facilities (or loans under the Revolving Credit Facility to the extent of reducing the balance of outstanding loans below $30.0 million) will be subject to a prepayment premium of 1.00% if the prepayment occurs prior to July 18, 2027. Amounts repaid in respect of loans under the Term Loan Facilities may not be reborrowed.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Credit Facilities contain certain customary affirmative and negative covenants, including covenants that limit our ability and the ability of our subsidiaries to, among other things, grant liens, incur debt, dispose of assets, make loans and investments, make acquisitions, make certain restricted payments (including cash dividends), merge or consolidate, change business or accounting or reporting practices, in each case subject to customary exceptions for a credit facility of this size and type. The covenants include a financial maintenance covenant that requires the company’s total net leverage ratio, as defined in the agreement, to be not greater than 6.25x for the test periods from the second quarter of fiscal year 2024 through the fourth quarter of fiscal year 2024 and not greater than 5.75x from the first quarter of fiscal year 2025 and thereafter. As of March 31, 2026 we are in compliance with our debt covenants.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Interest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and after the Second Amendment Effective Date, the Revolving Credit Facility bears interest, at our option, at a floating annual rate equal to either the base rate plus a margin of 2.50%, or the </w:t>
      </w:r>
      <w:r>
        <w:rPr>
          <w:rFonts w:ascii="Times New Roman" w:cs="Times New Roman" w:eastAsia="Times New Roman" w:hAnsi="Times New Roman"/>
          <w:sz w:val="18"/>
          <w:szCs w:val="18"/>
          <w:color w:val="212529"/>
        </w:rPr>
        <w:t>Secured Overnight Financing Rate (“SOFR”)</w:t>
      </w:r>
      <w:r>
        <w:rPr>
          <w:rFonts w:ascii="Times New Roman" w:cs="Times New Roman" w:eastAsia="Times New Roman" w:hAnsi="Times New Roman"/>
          <w:sz w:val="18"/>
          <w:szCs w:val="18"/>
          <w:color w:val="auto"/>
        </w:rPr>
        <w:t xml:space="preserve"> plus a margin of 3.50%. In addition, we will be required to pay fees of 0.50% per annum on the daily unused amount of the Revolving Credit Facility and 1.00% per annum on the daily unused amount of the New Delayed Draw Term Loan Facility. The Term Loan Facilities initially bear interest, at our option, at a floating annual rate equal to either the base rate plus a margin of 3.75%, or SOFR plus a margin of 4.75%. As of March 31, 2026 the stated and effective interest rate for the Term Loan Facility was 8.41% and 9.05%</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respectively. As of March 31, 2026 the stated interest rate was 7.16% per annum for the Revolving Credit Facility.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 and Debt Issuance Costs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Amendment, we capitalized $0.5 million in debt issuance costs under the Existing Term Loan Facility, $0.2 million in other long-term assets under the Existing Revolving Credit Facility, and $1.1 million in other long-term assets under the New Delayed Draw Term Loan Facility. Non-cash amortization of debt issuance costs and debt discounts for our Credit Facilities totaled $0.3 million and $0.5 million for the three months ended March 31, 2026 and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18, 2020 we issued $100.0 million aggregate principal amount of 4.25% Convertible Senior Notes with a maturity date of July 1, 2025 (the “Convertible Senior Notes”). The net proceeds from this offering, after deducting initial purchasers’ discounts and costs directly related to this offering, were approximately $96.5 million. On January 1, 2021 we adopted ASU 2020-06 and adjusted the carrying balance of the Convertible Senior Notes to notional.</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 xml:space="preserve">In May 2025 we entered into separate, privately negotiated exchange agreements (“Exchange Agreements”) with the Holders of </w:t>
      </w:r>
      <w:r>
        <w:rPr>
          <w:rFonts w:ascii="Times New Roman" w:cs="Times New Roman" w:eastAsia="Times New Roman" w:hAnsi="Times New Roman"/>
          <w:sz w:val="18"/>
          <w:szCs w:val="18"/>
          <w:color w:val="000000"/>
        </w:rPr>
        <w:t>the Convertible Senior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Notes</w:t>
      </w:r>
      <w:r>
        <w:rPr>
          <w:rFonts w:ascii="Times New Roman" w:cs="Times New Roman" w:eastAsia="Times New Roman" w:hAnsi="Times New Roman"/>
          <w:sz w:val="18"/>
          <w:szCs w:val="18"/>
          <w:color w:val="212529"/>
        </w:rPr>
        <w:t>. The transactions contemplated by the Exchange Agreements closed on May 28, 2025. Under the terms of the Exchange Agreements, the Holders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exchanged an aggregate principal amount of approximately $99.5 million of the </w:t>
      </w:r>
      <w:r>
        <w:rPr>
          <w:rFonts w:ascii="Times New Roman" w:cs="Times New Roman" w:eastAsia="Times New Roman" w:hAnsi="Times New Roman"/>
          <w:sz w:val="18"/>
          <w:szCs w:val="18"/>
          <w:color w:val="000000"/>
        </w:rPr>
        <w:t>Convertible Senior</w:t>
      </w:r>
      <w:r>
        <w:rPr>
          <w:rFonts w:ascii="Times New Roman" w:cs="Times New Roman" w:eastAsia="Times New Roman" w:hAnsi="Times New Roman"/>
          <w:sz w:val="18"/>
          <w:szCs w:val="18"/>
          <w:color w:val="212529"/>
        </w:rPr>
        <w:t xml:space="preserve"> Notes held by the Holders in exchange for an aggregate of 4,334,347 shares of our common stock. In addition, pursuant to the Exchange Agreements, we made a cash payment of approximately $1.7 million to the Holders in respect of accrued and unpaid interest on the exchanged </w:t>
      </w:r>
      <w:r>
        <w:rPr>
          <w:rFonts w:ascii="Times New Roman" w:cs="Times New Roman" w:eastAsia="Times New Roman" w:hAnsi="Times New Roman"/>
          <w:sz w:val="18"/>
          <w:szCs w:val="18"/>
          <w:color w:val="000000"/>
        </w:rPr>
        <w:t>Convertible Senior</w:t>
      </w:r>
      <w:r>
        <w:rPr>
          <w:rFonts w:ascii="Times New Roman" w:cs="Times New Roman" w:eastAsia="Times New Roman" w:hAnsi="Times New Roman"/>
          <w:sz w:val="18"/>
          <w:szCs w:val="18"/>
          <w:color w:val="212529"/>
        </w:rPr>
        <w:t xml:space="preserve"> Notes. </w:t>
      </w:r>
      <w:r>
        <w:rPr>
          <w:rFonts w:ascii="Times New Roman" w:cs="Times New Roman" w:eastAsia="Times New Roman" w:hAnsi="Times New Roman"/>
          <w:sz w:val="18"/>
          <w:szCs w:val="18"/>
          <w:color w:val="000000"/>
        </w:rPr>
        <w:t>The remaining</w:t>
      </w:r>
      <w:r>
        <w:rPr>
          <w:rFonts w:ascii="Times New Roman" w:cs="Times New Roman" w:eastAsia="Times New Roman" w:hAnsi="Times New Roman"/>
          <w:sz w:val="18"/>
          <w:szCs w:val="18"/>
          <w:color w:val="212529"/>
        </w:rPr>
        <w:t xml:space="preserve"> $0.5 million in aggregate principal amount of the </w:t>
      </w:r>
      <w:r>
        <w:rPr>
          <w:rFonts w:ascii="Times New Roman" w:cs="Times New Roman" w:eastAsia="Times New Roman" w:hAnsi="Times New Roman"/>
          <w:sz w:val="18"/>
          <w:szCs w:val="18"/>
          <w:color w:val="000000"/>
        </w:rPr>
        <w:t>Convertible Senior Notes was settled on July 1, 2025 resulting in the issuance of</w:t>
      </w:r>
      <w:r>
        <w:rPr>
          <w:rFonts w:ascii="Times New Roman" w:cs="Times New Roman" w:eastAsia="Times New Roman" w:hAnsi="Times New Roman"/>
          <w:sz w:val="18"/>
          <w:szCs w:val="18"/>
          <w:color w:val="212529"/>
        </w:rPr>
        <w:t xml:space="preserve"> 19,605 </w:t>
      </w:r>
      <w:r>
        <w:rPr>
          <w:rFonts w:ascii="Times New Roman" w:cs="Times New Roman" w:eastAsia="Times New Roman" w:hAnsi="Times New Roman"/>
          <w:sz w:val="18"/>
          <w:szCs w:val="18"/>
          <w:color w:val="000000"/>
        </w:rPr>
        <w:t>shares of our common stock. The Delayed Draw</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Term Loan Facility was terminated on July 2, 2025 after all of the Convertible Senior Notes were settled.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Convertible Senior Notes could have been settled in cash, stock, or a combination thereof, solely at our discretion. The initial conversion rate of the Convertible Senior Notes is 42.6203 shares per $1,000 principal amount, which is equivalent to a conversion price of approximately $23.46 per share, subject to adjustments. We used the if-converted method for assumed conversion of the Convertible Senior Notes for the diluted earnings per share calculation in periods prior to inducement.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 xml:space="preserve">We did </w:t>
      </w:r>
      <w:r>
        <w:rPr>
          <w:rFonts w:ascii="Times New Roman" w:cs="Times New Roman" w:eastAsia="Times New Roman" w:hAnsi="Times New Roman"/>
          <w:sz w:val="18"/>
          <w:szCs w:val="18"/>
          <w:color w:val="000000"/>
        </w:rPr>
        <w:t>not</w:t>
      </w:r>
      <w:r>
        <w:rPr>
          <w:rFonts w:ascii="Times New Roman" w:cs="Times New Roman" w:eastAsia="Times New Roman" w:hAnsi="Times New Roman"/>
          <w:sz w:val="18"/>
          <w:szCs w:val="18"/>
          <w:color w:val="212529"/>
        </w:rPr>
        <w:t xml:space="preserve"> incur interest expense for the three months ended March 31, 2026 due to the </w:t>
      </w:r>
      <w:r>
        <w:rPr>
          <w:rFonts w:ascii="Times New Roman" w:cs="Times New Roman" w:eastAsia="Times New Roman" w:hAnsi="Times New Roman"/>
          <w:sz w:val="18"/>
          <w:szCs w:val="18"/>
          <w:color w:val="000000"/>
        </w:rPr>
        <w:t>Convertible Senior Notes settlement in July 2025, as discussed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above. We incurred $1.3 million of interest expense on the Convertible Senior Notes for the three </w:t>
      </w:r>
      <w:r>
        <w:rPr>
          <w:rFonts w:ascii="Times New Roman" w:cs="Times New Roman" w:eastAsia="Times New Roman" w:hAnsi="Times New Roman"/>
          <w:sz w:val="18"/>
          <w:szCs w:val="18"/>
          <w:color w:val="212529"/>
        </w:rPr>
        <w:t>months ended March 31, 2025. Interest on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Convertible Senior Notes began accruing upon issuance and was payable semi-annually.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Claims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are made aware of adverse events involving our products and tissues. Future adverse events could ultimately give rise to a lawsuit against us, and liability claims may be asserted against us in the future based on past events that we are not aware of at the present time. We maintain claims-made insurance policies to mitigate our financial exposure to product and tissue processing liability claims. Claims-made insurance policies generally cover only those asserted claims and incidents that are reported to the insurance carrier while the policy is in effect. The amounts recorded in these Condensed Consolidated Financial Statements as of March 31, 2026 and December 31, 2025 represent our estimate of the probable losses and anticipated recoveries for incurred but not reported claims related to products sold and services performed prior to the balance sheet date.</w:t>
      </w:r>
    </w:p>
    <w:p>
      <w:pPr>
        <w:spacing w:after="0" w:line="18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are disaggregated by the following geographic regions:</w:t>
      </w:r>
    </w:p>
    <w:p>
      <w:pPr>
        <w:spacing w:after="0" w:line="185" w:lineRule="exact"/>
        <w:rPr>
          <w:sz w:val="20"/>
          <w:szCs w:val="20"/>
          <w:color w:val="auto"/>
        </w:rPr>
      </w:pPr>
    </w:p>
    <w:p>
      <w:pPr>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consists of the US and Canada. We market our approved medical device products and preservation services (predominantly in the US), primarily to physicians through our direct sales representatives who are managed by regional managers.</w:t>
      </w:r>
    </w:p>
    <w:p>
      <w:pPr>
        <w:jc w:val="both"/>
        <w:ind w:left="660" w:right="2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the Middle East, and Africa (“EMEA”): in certain countries, we market approved medical device products to physicians, hospitals, and distributors through our direct sales force. In countries where we have no direct sales forces, regional sales managers market to distributors who buy medical device products directly from us and sell to hospitals in their respective countries.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Asia Pacific (“APAC”): we market medical device products that are approved in each country to distributors in the region.</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(“LATAM”): we market medical device products that are approved in each country to distributors in the region except for Brazil where we sell directly to end customers and distributors.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geographic location based on the location of the customer were as follows (in thousands):</w:t>
      </w:r>
    </w:p>
    <w:p>
      <w:pPr>
        <w:spacing w:after="0" w:line="262"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1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47,793</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37,045</w:t>
            </w:r>
          </w:p>
        </w:tc>
      </w:tr>
      <w:tr>
        <w:trPr>
          <w:trHeight w:val="24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w:t>
            </w: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LATAM</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w:t>
            </w:r>
          </w:p>
        </w:tc>
      </w:tr>
      <w:tr>
        <w:trPr>
          <w:trHeight w:val="26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116,337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98,978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see segment disaggregation information in Note 13 below.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stock option and stock incentive plans for employees and non-employee directors that provide for grants of restricted stock awards (“RSAs”), restricted stock units (“RSUs”), performance stock units (“PSUs”), and options to purchase shares of our common stock at exercise prices generally equal to the fair value of such stock at the dates of grant. We also maintain a stockholder-approved Employee Stock Purchase Plan (“ESPP”) for the benefit of our employees. The ESPP allows eligible employees to purchase common stock on a regular basis at the lower of 85% of the market price at the beginning or end of each offering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Grants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Compensation Committee of our Board of Directors (the “Committee”) authorized awards from approved stock incentive plans of RSUs and PSUs to certain employees and company officers, which, assuming that performance under the PSUs will be achieved at target levels, together totaled 761,000 shares and had an aggregate grant date fair value of $27.0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Committee authorized awards from approved stock incentive plans of RSUs and PSUs to certain employees and company officers, which, assuming that performance under the PSUs were to be achieved at target levels, together totaled 748,000 shares and had an aggregate grant date fair value of $19.0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did not authorize any grants of stock options during the three months ended March 31, 2026 and 2025.</w:t>
      </w: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Employees purchased common stock totaling 41,000 and 44,000 shares in the three months ended March 31, 2026 and 2025, respectively, through the ESPP.</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(Loss) Per Common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income (loss) per common share (in thousands,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0" w:type="dxa"/>
            <w:vAlign w:val="bottom"/>
          </w:tcPr>
          <w:p>
            <w:pPr>
              <w:spacing w:after="0"/>
              <w:rPr>
                <w:sz w:val="1"/>
                <w:szCs w:val="1"/>
                <w:color w:val="auto"/>
              </w:rPr>
            </w:pPr>
          </w:p>
        </w:tc>
      </w:tr>
      <w:tr>
        <w:trPr>
          <w:trHeight w:val="245"/>
        </w:trPr>
        <w:tc>
          <w:tcPr>
            <w:tcW w:w="8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Basic income (loss) per common share</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39"/>
        </w:trPr>
        <w:tc>
          <w:tcPr>
            <w:tcW w:w="8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39"/>
        </w:trPr>
        <w:tc>
          <w:tcPr>
            <w:tcW w:w="84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Net (income) loss allocated to participating securities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6"/>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allocated to common stockholders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weighted-average common shares outstanding</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48,074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42,232</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Basic income (loss) per common share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1"/>
        </w:trPr>
        <w:tc>
          <w:tcPr>
            <w:tcW w:w="8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0" w:type="dxa"/>
            <w:vAlign w:val="bottom"/>
          </w:tcPr>
          <w:p>
            <w:pPr>
              <w:spacing w:after="0"/>
              <w:rPr>
                <w:sz w:val="1"/>
                <w:szCs w:val="1"/>
                <w:color w:val="auto"/>
              </w:rPr>
            </w:pPr>
          </w:p>
        </w:tc>
      </w:tr>
      <w:tr>
        <w:trPr>
          <w:trHeight w:val="238"/>
        </w:trPr>
        <w:tc>
          <w:tcPr>
            <w:tcW w:w="8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income (loss) per common share</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84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39"/>
        </w:trPr>
        <w:tc>
          <w:tcPr>
            <w:tcW w:w="8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39"/>
        </w:trPr>
        <w:tc>
          <w:tcPr>
            <w:tcW w:w="84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Net (income) loss allocated to participating securities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6"/>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allocated to common stockholders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Effect of dilutive stock options and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Diluted weighted-average common shares outstanding</w:t>
      </w:r>
    </w:p>
    <w:p>
      <w:pPr>
        <w:spacing w:after="0" w:line="1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Diluted income (loss) per common share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42,232</w:t>
            </w:r>
          </w:p>
        </w:tc>
      </w:tr>
      <w:tr>
        <w:trPr>
          <w:trHeight w:val="250"/>
        </w:trPr>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49,731</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42,232</w:t>
            </w:r>
          </w:p>
        </w:tc>
      </w:tr>
      <w:tr>
        <w:trPr>
          <w:trHeight w:val="23"/>
        </w:trPr>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4"/>
        </w:trPr>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r>
      <w:tr>
        <w:trPr>
          <w:trHeight w:val="23"/>
        </w:trPr>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00" w:space="720"/>
            <w:col w:w="2820"/>
          </w:cols>
          <w:pgMar w:left="320" w:top="108"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excluded stock options and awards from the calculation of diluted weighted-average common shares outstanding if the per share value, including the sum of (i) the exercise price of the options and (ii) the amount of the compensation cost attributed to future services and not yet recognized, was greater than the average market price of the shares because the inclusion of these stock options would be antidilutive to loss per common share. For the </w:t>
      </w:r>
      <w:r>
        <w:rPr>
          <w:rFonts w:ascii="Times New Roman" w:cs="Times New Roman" w:eastAsia="Times New Roman" w:hAnsi="Times New Roman"/>
          <w:sz w:val="18"/>
          <w:szCs w:val="18"/>
          <w:color w:val="212529"/>
        </w:rPr>
        <w:t>three</w:t>
      </w:r>
      <w:r>
        <w:rPr>
          <w:rFonts w:ascii="Times New Roman" w:cs="Times New Roman" w:eastAsia="Times New Roman" w:hAnsi="Times New Roman"/>
          <w:sz w:val="18"/>
          <w:szCs w:val="18"/>
          <w:color w:val="auto"/>
        </w:rPr>
        <w:t xml:space="preserve"> months ended March 31, 2026 only dilutive stock options and awards were included in the calculation of diluted weighted-average common shares outstanding. Antidilutive potential common shares were immaterial and excluded from the calculation of diluted weighted-average common shares outstanding. For the three months ended March 31, 2025 all stock options and awards were excluded from the calculation of diluted weighted-average common shares outstanding as these would be antidilutive due to the net loss.</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8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We have two reportable segments organized according to our products and services: Medical Devices and Preservation Services. The Medical Devices segment includes external revenues from product sales of aortic stent grafts, On-X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surgical sealants, and other product revenues. Aortic stent grafts include aortic arch stent grafts, abdominal stent grafts, and synthetic vascular grafts. Aortic arch stent grafts include our E-vita® Open NEO, E-vita Open Plus, Arcevo LSA, AMDS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the NEXUS ONE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NEXUS DUO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and NEXUS TRE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aortic arch stent graft systems (the “NEXUS family of products”), and E-vita Thoracic 3G. Abdominal stent grafts include our E-xtra Design Engineering, E-nside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Artivex</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E-tegra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E-ventus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BX, Tuva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BX, and E-liac</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products. Surgical sealants include BioGlue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Surgical Adhesive products. The Preservation Services segment includes external services revenues from the preservation of cardiac and vascular tissues. There are no intersegment revenues.</w:t>
      </w:r>
    </w:p>
    <w:p>
      <w:pPr>
        <w:spacing w:after="0" w:line="17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Our Chief Operating Decision Maker (“CODM”) is the Company’s Chairman, President, and CEO. The CODM reviews financial information to assess segment performance and determine how to allocate resources across segments</w:t>
      </w:r>
      <w:r>
        <w:rPr>
          <w:rFonts w:ascii="Times New Roman" w:cs="Times New Roman" w:eastAsia="Times New Roman" w:hAnsi="Times New Roman"/>
          <w:sz w:val="21"/>
          <w:szCs w:val="21"/>
          <w:color w:val="auto"/>
        </w:rPr>
        <w:t>.</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measure of segment performance, as assessed by our management, is segment gross margin or net external revenues less cost of products and preservation services. The CODM regularly reviews these costs, recognizing them as significant segment expenses. We do not segregate assets by segment; therefore, asset information is excluded from the segment disclosures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revenues, cost of products and preservation services, and gross margins for our reportable segments (in thousands):</w:t>
      </w:r>
    </w:p>
    <w:p>
      <w:pPr>
        <w:spacing w:after="0" w:line="262"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800" w:type="dxa"/>
            <w:vAlign w:val="bottom"/>
            <w:tcBorders>
              <w:bottom w:val="single" w:sz="8" w:color="CCEEFF"/>
            </w:tcBorders>
          </w:tcPr>
          <w:p>
            <w:pPr>
              <w:spacing w:after="0"/>
              <w:rPr>
                <w:sz w:val="22"/>
                <w:szCs w:val="22"/>
                <w:color w:val="auto"/>
              </w:rPr>
            </w:pPr>
          </w:p>
        </w:tc>
        <w:tc>
          <w:tcPr>
            <w:tcW w:w="34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Medical devices</w:t>
            </w:r>
          </w:p>
        </w:tc>
        <w:tc>
          <w:tcPr>
            <w:tcW w:w="38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91,442</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78,798</w:t>
            </w:r>
          </w:p>
        </w:tc>
        <w:tc>
          <w:tcPr>
            <w:tcW w:w="0" w:type="dxa"/>
            <w:vAlign w:val="bottom"/>
          </w:tcPr>
          <w:p>
            <w:pPr>
              <w:spacing w:after="0"/>
              <w:rPr>
                <w:sz w:val="1"/>
                <w:szCs w:val="1"/>
                <w:color w:val="auto"/>
              </w:rPr>
            </w:pPr>
          </w:p>
        </w:tc>
      </w:tr>
      <w:tr>
        <w:trPr>
          <w:trHeight w:val="247"/>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Preservation services</w:t>
            </w:r>
          </w:p>
        </w:tc>
        <w:tc>
          <w:tcPr>
            <w:tcW w:w="34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24,895</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20,180</w:t>
            </w:r>
          </w:p>
        </w:tc>
        <w:tc>
          <w:tcPr>
            <w:tcW w:w="0" w:type="dxa"/>
            <w:vAlign w:val="bottom"/>
          </w:tcPr>
          <w:p>
            <w:pPr>
              <w:spacing w:after="0"/>
              <w:rPr>
                <w:sz w:val="1"/>
                <w:szCs w:val="1"/>
                <w:color w:val="auto"/>
              </w:rPr>
            </w:pPr>
          </w:p>
        </w:tc>
      </w:tr>
      <w:tr>
        <w:trPr>
          <w:trHeight w:val="234"/>
        </w:trPr>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116,337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98,978</w:t>
            </w:r>
          </w:p>
        </w:tc>
        <w:tc>
          <w:tcPr>
            <w:tcW w:w="0" w:type="dxa"/>
            <w:vAlign w:val="bottom"/>
          </w:tcPr>
          <w:p>
            <w:pPr>
              <w:spacing w:after="0"/>
              <w:rPr>
                <w:sz w:val="1"/>
                <w:szCs w:val="1"/>
                <w:color w:val="auto"/>
              </w:rPr>
            </w:pPr>
          </w:p>
        </w:tc>
      </w:tr>
      <w:tr>
        <w:trPr>
          <w:trHeight w:val="272"/>
        </w:trPr>
        <w:tc>
          <w:tcPr>
            <w:tcW w:w="4800" w:type="dxa"/>
            <w:vAlign w:val="bottom"/>
            <w:shd w:val="clear" w:color="auto" w:fill="CCEEFF"/>
          </w:tcPr>
          <w:p>
            <w:pPr>
              <w:spacing w:after="0"/>
              <w:rPr>
                <w:sz w:val="23"/>
                <w:szCs w:val="23"/>
                <w:color w:val="auto"/>
              </w:rPr>
            </w:pPr>
          </w:p>
        </w:tc>
        <w:tc>
          <w:tcPr>
            <w:tcW w:w="34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products and preservation services:</w:t>
            </w:r>
          </w:p>
        </w:tc>
        <w:tc>
          <w:tcPr>
            <w:tcW w:w="3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Medical devices</w:t>
            </w:r>
          </w:p>
        </w:tc>
        <w:tc>
          <w:tcPr>
            <w:tcW w:w="34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25,263</w:t>
            </w:r>
          </w:p>
        </w:tc>
        <w:tc>
          <w:tcPr>
            <w:tcW w:w="0" w:type="dxa"/>
            <w:vAlign w:val="bottom"/>
          </w:tcPr>
          <w:p>
            <w:pPr>
              <w:spacing w:after="0"/>
              <w:rPr>
                <w:sz w:val="1"/>
                <w:szCs w:val="1"/>
                <w:color w:val="auto"/>
              </w:rPr>
            </w:pPr>
          </w:p>
        </w:tc>
      </w:tr>
      <w:tr>
        <w:trPr>
          <w:trHeight w:val="239"/>
        </w:trPr>
        <w:tc>
          <w:tcPr>
            <w:tcW w:w="4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Preservation services</w:t>
            </w:r>
          </w:p>
        </w:tc>
        <w:tc>
          <w:tcPr>
            <w:tcW w:w="34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10,138</w:t>
            </w:r>
          </w:p>
        </w:tc>
        <w:tc>
          <w:tcPr>
            <w:tcW w:w="0" w:type="dxa"/>
            <w:vAlign w:val="bottom"/>
          </w:tcPr>
          <w:p>
            <w:pPr>
              <w:spacing w:after="0"/>
              <w:rPr>
                <w:sz w:val="1"/>
                <w:szCs w:val="1"/>
                <w:color w:val="auto"/>
              </w:rPr>
            </w:pPr>
          </w:p>
        </w:tc>
      </w:tr>
      <w:tr>
        <w:trPr>
          <w:trHeight w:val="241"/>
        </w:trPr>
        <w:tc>
          <w:tcPr>
            <w:tcW w:w="4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 cost of products and preservation services</w:t>
            </w:r>
          </w:p>
        </w:tc>
        <w:tc>
          <w:tcPr>
            <w:tcW w:w="3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40,889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35,401</w:t>
            </w:r>
          </w:p>
        </w:tc>
        <w:tc>
          <w:tcPr>
            <w:tcW w:w="0" w:type="dxa"/>
            <w:vAlign w:val="bottom"/>
          </w:tcPr>
          <w:p>
            <w:pPr>
              <w:spacing w:after="0"/>
              <w:rPr>
                <w:sz w:val="1"/>
                <w:szCs w:val="1"/>
                <w:color w:val="auto"/>
              </w:rPr>
            </w:pPr>
          </w:p>
        </w:tc>
      </w:tr>
      <w:tr>
        <w:trPr>
          <w:trHeight w:val="270"/>
        </w:trPr>
        <w:tc>
          <w:tcPr>
            <w:tcW w:w="48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34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Medical devices</w:t>
            </w:r>
          </w:p>
        </w:tc>
        <w:tc>
          <w:tcPr>
            <w:tcW w:w="3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53,535</w:t>
            </w:r>
          </w:p>
        </w:tc>
        <w:tc>
          <w:tcPr>
            <w:tcW w:w="0" w:type="dxa"/>
            <w:vAlign w:val="bottom"/>
          </w:tcPr>
          <w:p>
            <w:pPr>
              <w:spacing w:after="0"/>
              <w:rPr>
                <w:sz w:val="1"/>
                <w:szCs w:val="1"/>
                <w:color w:val="auto"/>
              </w:rPr>
            </w:pPr>
          </w:p>
        </w:tc>
      </w:tr>
      <w:tr>
        <w:trPr>
          <w:trHeight w:val="247"/>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Preservation services</w:t>
            </w:r>
          </w:p>
        </w:tc>
        <w:tc>
          <w:tcPr>
            <w:tcW w:w="34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10,042</w:t>
            </w:r>
          </w:p>
        </w:tc>
        <w:tc>
          <w:tcPr>
            <w:tcW w:w="0" w:type="dxa"/>
            <w:vAlign w:val="bottom"/>
          </w:tcPr>
          <w:p>
            <w:pPr>
              <w:spacing w:after="0"/>
              <w:rPr>
                <w:sz w:val="1"/>
                <w:szCs w:val="1"/>
                <w:color w:val="auto"/>
              </w:rPr>
            </w:pPr>
          </w:p>
        </w:tc>
      </w:tr>
      <w:tr>
        <w:trPr>
          <w:trHeight w:val="237"/>
        </w:trPr>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gross margin</w:t>
            </w:r>
          </w:p>
        </w:tc>
        <w:tc>
          <w:tcPr>
            <w:tcW w:w="348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75,448</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63,577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480" w:type="dxa"/>
            <w:vAlign w:val="bottom"/>
            <w:vMerge w:val="restart"/>
          </w:tcPr>
          <w:p>
            <w:pPr>
              <w:jc w:val="right"/>
              <w:ind w:right="247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80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product were as follows (in thousands):</w:t>
      </w:r>
    </w:p>
    <w:p>
      <w:pPr>
        <w:spacing w:after="0" w:line="262"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40" w:type="dxa"/>
            <w:vAlign w:val="bottom"/>
            <w:tcBorders>
              <w:bottom w:val="single" w:sz="8" w:color="CCEEFF"/>
            </w:tcBorders>
          </w:tcPr>
          <w:p>
            <w:pPr>
              <w:spacing w:after="0"/>
              <w:rPr>
                <w:sz w:val="21"/>
                <w:szCs w:val="21"/>
                <w:color w:val="auto"/>
              </w:rPr>
            </w:pPr>
          </w:p>
        </w:tc>
        <w:tc>
          <w:tcPr>
            <w:tcW w:w="464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4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Aortic stent grafts</w:t>
            </w:r>
          </w:p>
        </w:tc>
        <w:tc>
          <w:tcPr>
            <w:tcW w:w="4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44,397</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36,602</w:t>
            </w:r>
          </w:p>
        </w:tc>
        <w:tc>
          <w:tcPr>
            <w:tcW w:w="0" w:type="dxa"/>
            <w:vAlign w:val="bottom"/>
          </w:tcPr>
          <w:p>
            <w:pPr>
              <w:spacing w:after="0"/>
              <w:rPr>
                <w:sz w:val="1"/>
                <w:szCs w:val="1"/>
                <w:color w:val="auto"/>
              </w:rPr>
            </w:pPr>
          </w:p>
        </w:tc>
      </w:tr>
      <w:tr>
        <w:trPr>
          <w:trHeight w:val="247"/>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On-X</w:t>
            </w:r>
          </w:p>
        </w:tc>
        <w:tc>
          <w:tcPr>
            <w:tcW w:w="46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21,574</w:t>
            </w:r>
          </w:p>
        </w:tc>
        <w:tc>
          <w:tcPr>
            <w:tcW w:w="0" w:type="dxa"/>
            <w:vAlign w:val="bottom"/>
          </w:tcPr>
          <w:p>
            <w:pPr>
              <w:spacing w:after="0"/>
              <w:rPr>
                <w:sz w:val="1"/>
                <w:szCs w:val="1"/>
                <w:color w:val="auto"/>
              </w:rPr>
            </w:pPr>
          </w:p>
        </w:tc>
      </w:tr>
      <w:tr>
        <w:trPr>
          <w:trHeight w:val="239"/>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Surgical sealants</w:t>
            </w:r>
          </w:p>
        </w:tc>
        <w:tc>
          <w:tcPr>
            <w:tcW w:w="4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18,106</w:t>
            </w:r>
          </w:p>
        </w:tc>
        <w:tc>
          <w:tcPr>
            <w:tcW w:w="0" w:type="dxa"/>
            <w:vAlign w:val="bottom"/>
          </w:tcPr>
          <w:p>
            <w:pPr>
              <w:spacing w:after="0"/>
              <w:rPr>
                <w:sz w:val="1"/>
                <w:szCs w:val="1"/>
                <w:color w:val="auto"/>
              </w:rPr>
            </w:pPr>
          </w:p>
        </w:tc>
      </w:tr>
      <w:tr>
        <w:trPr>
          <w:trHeight w:val="247"/>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6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34"/>
        </w:trPr>
        <w:tc>
          <w:tcPr>
            <w:tcW w:w="35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4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91,442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78,798</w:t>
            </w:r>
          </w:p>
        </w:tc>
        <w:tc>
          <w:tcPr>
            <w:tcW w:w="0" w:type="dxa"/>
            <w:vAlign w:val="bottom"/>
          </w:tcPr>
          <w:p>
            <w:pPr>
              <w:spacing w:after="0"/>
              <w:rPr>
                <w:sz w:val="1"/>
                <w:szCs w:val="1"/>
                <w:color w:val="auto"/>
              </w:rPr>
            </w:pPr>
          </w:p>
        </w:tc>
      </w:tr>
      <w:tr>
        <w:trPr>
          <w:trHeight w:val="272"/>
        </w:trPr>
        <w:tc>
          <w:tcPr>
            <w:tcW w:w="3540" w:type="dxa"/>
            <w:vAlign w:val="bottom"/>
            <w:shd w:val="clear" w:color="auto" w:fill="CCEEFF"/>
          </w:tcPr>
          <w:p>
            <w:pPr>
              <w:spacing w:after="0"/>
              <w:rPr>
                <w:sz w:val="23"/>
                <w:szCs w:val="23"/>
                <w:color w:val="auto"/>
              </w:rPr>
            </w:pPr>
          </w:p>
        </w:tc>
        <w:tc>
          <w:tcPr>
            <w:tcW w:w="4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Preservation services</w:t>
            </w:r>
          </w:p>
        </w:tc>
        <w:tc>
          <w:tcPr>
            <w:tcW w:w="46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20,180</w:t>
            </w:r>
          </w:p>
        </w:tc>
        <w:tc>
          <w:tcPr>
            <w:tcW w:w="0" w:type="dxa"/>
            <w:vAlign w:val="bottom"/>
          </w:tcPr>
          <w:p>
            <w:pPr>
              <w:spacing w:after="0"/>
              <w:rPr>
                <w:sz w:val="1"/>
                <w:szCs w:val="1"/>
                <w:color w:val="auto"/>
              </w:rPr>
            </w:pPr>
          </w:p>
        </w:tc>
      </w:tr>
      <w:tr>
        <w:trPr>
          <w:trHeight w:val="266"/>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6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116,337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98,978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354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540" w:type="dxa"/>
            <w:vAlign w:val="bottom"/>
            <w:tcBorders>
              <w:bottom w:val="single" w:sz="8" w:color="9A9A9A"/>
            </w:tcBorders>
          </w:tcPr>
          <w:p>
            <w:pPr>
              <w:spacing w:after="0"/>
              <w:rPr>
                <w:sz w:val="8"/>
                <w:szCs w:val="8"/>
                <w:color w:val="auto"/>
              </w:rPr>
            </w:pPr>
          </w:p>
        </w:tc>
        <w:tc>
          <w:tcPr>
            <w:tcW w:w="46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Form 10-Q includes “forward-looking statements” within the meaning of Section 27A of the Securities Act of 1933, as amended, and Section 21E of the Securities Exchange Act of 1934 (the “Exchange Act”). Forward-looking statements give our expectations or forecasts of future events as of the date of this Form 10-Q. In some cases, words such as “could,” “may,” “might,” “will,” “would,” “shall,” “should,” “pro forma,” “potential,” “pending,” “intend,” “believe,” “expect,” “anticipate,” “estimate,” “plan,” “future,” “assume,” and variations of these types of words or other similar expressions identify forward-looking statements. These forward-looking statements are made pursuant to the safe harbor provisions of the Private Securities Litigation Reform Act of 1995. Readers are cautioned not to place undue reliance on these forward-looking statements, which are made as of the date of this Form 10-Q.</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statements included herein, other than statements of historical facts, that address activities, events, or developments that we expect or anticipate will or may occur in the future, or that reflect our beliefs about the future and/or expectations, are forward-looking statements, including statements about the following:</w:t>
      </w:r>
    </w:p>
    <w:p>
      <w:pPr>
        <w:spacing w:after="0" w:line="203" w:lineRule="exact"/>
        <w:rPr>
          <w:sz w:val="20"/>
          <w:szCs w:val="20"/>
          <w:color w:val="auto"/>
        </w:rPr>
      </w:pPr>
    </w:p>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that public health crises and geopolitical conflicts may have on demand for and sales of our products and services, business operations, manufacturing operations, supply chain, cash flow, workforce, clinical and regulatory timelines, and our research and development projects;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general global, regional, or national economic downturns and macroeconomic trends, including heightened inflation, interest rate, currency fluctuations, and proposed and enacted tariffs, as well as general or localized economic slowdowns or recessions may have on demand for and sales of our products and services, including ordering trends for international distributors based on currency fluctuations against the US dollar, and our business operations, manufacturing operations, supply chain, and workforce;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the robustness of our global supply chain in light of current global and macroeconomic conditions and about the potential impact of supply chain disruptions, particularly disruptions to single and sole source suppliers and third-party manufacturing partners;</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our R&amp;D and product pipeline, including our beliefs about the timing and results of our clinical trials, approvals, and product commercialization and launches;</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anticipated expansion of our business and the sufficiency of our leased and recently acquired properties for such expansion;</w:t>
      </w: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and anticipation regarding the favorable attributes, benefits, and clinical advantages of our products and services, the basis on which our products and services compete, the benefits of our physician education activities, and the advantages of our relationships with organ and tissue procurement organizations and tissue banks;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the future regulatory status of our medical devices and processed tissues, our compliance with applicable laws and regulations, and our ability to make timely transitions to our Notified Bodies and obtain renewals for our Conformité Européenne Mark (“CE Mark”) product certification impacted by the transition to the Medical Device Regulation in Europe, and the impact these transitions, renewals, and related processes may have on our business, including any impact on our customers’ ordering patterns and our ability to supply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our global expansion efforts;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the potential impact on our business of changes to regulations, regulators, Notified Bodies, and related matters;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the advantages of our intellectual property and its significance to our segments and our business as a whole, and our beliefs about the present value and potential impairment of our intangible assets and leases;</w:t>
      </w: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our workforce, including our ability to attract and retain talent at all levels, and about our relationship with our workforce, including our works council in Germany and union in Brazil;</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potential information security vulnerabilities, and the associated potential adverse effects on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the business impact of, and expenses associated with, the 2024 cybersecurity incident, and our beliefs about the cybersecurity threat environment;</w:t>
      </w: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dependencies affecting our ability to realize the anticipated business opportunities, growth prospects, synergies, and other benefits of the agreement with Baxter, the now-exercised Option Amendment with Endospan, and our acquisition of Ascyrus, and our beliefs about the costs and timelines for certain regulatory approvals and clinical trial milestones;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the fair value of our acquisitions, divestitures, and other business development activities and the estimates and assumptions about the future achievements of milestones and future revenues and cash flows related to those business development activities, including our ability to achieve the milestones in the Ascyrus and Baxter transactions;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6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revenues for preservation services, particularly revenues for certain high-demand cardiac tissues, can vary from quarter-to-quarter and year-to-year due to a variety of factors including: quantity and type of incoming tissues, yields of tissue through the preservation process, timing of receipt of donor information, staffing levels, timing of the release of tissues to an implantable status, demand for certain tissue types due to the number and type of procedures being performed, and pressures from competing products or services;</w:t>
      </w:r>
    </w:p>
    <w:p>
      <w:pPr>
        <w:spacing w:after="0" w:line="2"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the seasonal nature of the demand for some of our products and services and the reasons for such seasonality, if any, and regarding the impact of consignment inventory on product sales, if any;</w:t>
      </w:r>
    </w:p>
    <w:p>
      <w:pPr>
        <w:jc w:val="both"/>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our cash from operations and existing cash and cash equivalents will enable us to meet our current operational liquidity needs for at least the next twelve months, our expectations regarding future cash requirements and expenditures, and the impact that our cash requirements might have on our cash flows for the next twelve months;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impact on cash flows of undertaking significant business development activities and the potential need to obtain additional debt financing or equity financing;</w:t>
      </w: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we will incur expenses for research and development projects, including for clinical research projects to gain regulatory approvals for products or indications, including existing products, and for new products and technologies that will likely require additional investment, research, and new clinical studies or data;</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market opportunity and our ability to capture market share;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pending and potential legal or other governmental or regulatory proceedings;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impact of clinical research work and regulatory approvals for certain products or indications, including On-X products, aortic stent grafts, and surgical sealants, and the CryoValve SG pulmonary heart valve if the US Food and Drug Administration (“FDA”) reclassifies allograft heart valves as Class III medical devices;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beliefs and expectations regarding the utilization of net operating loss carryforwards from our acquisitions of JOTEC GmbH, On-X Life Technologies, Inc., Hemosphere, Inc., and Cardiogenesis Corporation;</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regarding the impact of the One Big Beautiful Bill Act on our tax obligations for the 2025 tax year and beyond;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our operating results which may fluctuate significantly on a periodic basis as a result of internal and external factors, including reduced demand for our products, the potential impact of new therapies, healthcare workforce trends and labor disputes, regulatory challenges, the availability of products, materials, and supplies, strategic actions we take such as acquisitions or divestitures, unanticipated costs and expenses, market reception of our new or improved product offerings, and interest rate and currency fluctuations;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regarding projections of future financial and business performance; anticipated growth and trends in our business and the markets relevant to our business, including how our growth relates to our competitors; the robustness and reliability of our workforce and supply chain; future production capacity and product supply; the availability and benefits of our products in the future; and the expected timing and impact of our strategic initiatives.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These and other forward-looking statements reflect the views of management at the time and such statements are originally made based on certain assumptions and analyses made by us in light of our experience and our perception of historical trends, current conditions, and expected future developments as well as other factors we believe are appropriate in the circumstances and are subject to a number of risks, uncertainties, estimates, and assumptions. Whether actual results and developments will conform with our expectations and predictions is subject to a number of risks and uncertainties which could cause actual results to differ materially and adversely from our expectations, including, without limitation, in addition to those specified in the text surrounding such statements, the risks described in Part II, Item 1A, “Risk Factors” in this Form 10-Q and elsewhere throughout this report, the risks described in our other filings with the Securities and Exchange Commission including the risks described in Part I, Item 1A, “Risk Factors” in our Annual Report on Form 10-K for the year ended December 31, 2025 and elsewhere throughout that report, and other risks which we may not be able to identify in advance, many of which are beyond our control. 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to, or effects on, us or our business or operations. We assume no obligation, and expressly disclaim any duty, to update publicly any such forward-looking statements, whether as a result of new information, future events, or otherwise.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Artivion, Inc. (“Artivion,” the “Company,” “we,” or “us”), is a leader in the manufacturing, processing, and distribution of medical devices and implantable human tissues used in cardiac and vascular surgical procedures for patients with aortic disease. We have four major product families: aortic stent grafts, On-X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mechanical heart valves and related surgical products (“On-X” products), surgical sealants, and implantable cardiac and vascular human tissues. Aortic stent grafts include aortic arch stent grafts, abdominal stent grafts, and synthetic vascular grafts. Aortic arch stent grafts include our E-vita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Open NEO, E-vita Open Plus, Arcevo LSA, AMDS</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the NEXUS ONE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NEXUS DUO</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and NEXUS TRE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aortic arch stent graft systems (the “NEXUS family of products”), and E-vita Thoracic 3G products. Abdominal stent grafts include our E-xtra Design Engineering, E-nside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Artivex</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E-tegra</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E-ventus</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BX, Tuva</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BX, and E-liac</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products. Surgical sealants include BioGlue Surgical Adhesive (“BioGlue”) products. In addition to these four major product families, we sell or distribute PhotoFix bovine surgical patches (“PhotoFix”). We began to manufacture and supply PerClot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hemostatic powder (“PerClot”) during the second quarter of 2023 (as part of our Transitional Manufacturing and Supply Agreement with Baxter International, Inc.).</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reported quarterly revenues of $116.3 million for the three months ended March 31, 2026, an 18% increase from the three months ended March 31, 2025. The increase in revenues for the three months ended March 31, 2026 was due to an increase in revenues from aortic stent grafts, preservation services, On-X products, and surgical sealants, partially offset by a decrease in revenues from other products. Constant currency revenues, as defined below, increased 12% for the three months ended March 31, 2026, as compared to the three months ended March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“Results of Operations” section below for additional analysis of the three months ended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corresponding measures under generally accepted accounting principles (“US GAAP”), management uses non-GAAP measures in reviewing and disclosing our financial results. The foreign exchange neutral revenues (“constant currency revenues”) discussed below are non-GAAP financial measures and are not in accordance with, or an alternative to, measures prepared in accordance with US GAAP. Accordingly, the constant currency revenues appearing in the following discussion of our results of operations should be read in conjunction with the information provided in “Non-GAAP Measures of Financial Performance” below, which includes a reconciliation of constant currency financial measures to the most directly comparable US GAAP measure.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in thousands)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Revenues as a Percentage of</w:t>
            </w:r>
          </w:p>
        </w:tc>
      </w:tr>
      <w:tr>
        <w:trPr>
          <w:trHeight w:val="203"/>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rPr>
              <w:t>Revenues for the</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gridSpan w:val="4"/>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Revenues for the</w:t>
            </w:r>
          </w:p>
        </w:tc>
      </w:tr>
      <w:tr>
        <w:trPr>
          <w:trHeight w:val="189"/>
        </w:trPr>
        <w:tc>
          <w:tcPr>
            <w:tcW w:w="3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59"/>
        </w:trPr>
        <w:tc>
          <w:tcPr>
            <w:tcW w:w="3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20" w:type="dxa"/>
            <w:vAlign w:val="bottom"/>
            <w:tcBorders>
              <w:bottom w:val="single" w:sz="8" w:color="auto"/>
            </w:tcBorders>
          </w:tcPr>
          <w:p>
            <w:pPr>
              <w:spacing w:after="0"/>
              <w:rPr>
                <w:sz w:val="22"/>
                <w:szCs w:val="22"/>
                <w:color w:val="auto"/>
              </w:rPr>
            </w:pPr>
          </w:p>
        </w:tc>
      </w:tr>
      <w:tr>
        <w:trPr>
          <w:trHeight w:val="241"/>
        </w:trPr>
        <w:tc>
          <w:tcPr>
            <w:tcW w:w="35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9"/>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Aortic stent grafts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44,397</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36,602</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7"/>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On-X</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21,574</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9"/>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Surgical sealants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18,106</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7"/>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35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91,442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78,798</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r>
      <w:tr>
        <w:trPr>
          <w:trHeight w:val="272"/>
        </w:trPr>
        <w:tc>
          <w:tcPr>
            <w:tcW w:w="3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9"/>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Preservation services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20,180</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6"/>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116,337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98,978</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increased 18% for the three months ended March 31, 2026, as compared to the three months ended March 31, 2025. The increase in revenues for the three months ended March 31, 2026 was due to an increase in revenues from aortic stent grafts, preservation services, On-X products, and surgical sealants, partially offset by a decrease in revenues from other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revenues to constant currency revenues for the periods presented: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Revenues for the</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5"/>
          </w:tcPr>
          <w:p>
            <w:pPr>
              <w:jc w:val="center"/>
              <w:ind w:right="320"/>
              <w:spacing w:after="0" w:line="189"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From Prior</w:t>
            </w: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220" w:type="dxa"/>
            <w:vAlign w:val="bottom"/>
          </w:tcPr>
          <w:p>
            <w:pPr>
              <w:spacing w:after="0"/>
              <w:rPr>
                <w:sz w:val="14"/>
                <w:szCs w:val="14"/>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120" w:type="dxa"/>
            <w:vAlign w:val="bottom"/>
          </w:tcPr>
          <w:p>
            <w:pPr>
              <w:spacing w:after="0"/>
              <w:rPr>
                <w:sz w:val="14"/>
                <w:szCs w:val="14"/>
                <w:color w:val="auto"/>
              </w:rPr>
            </w:pPr>
          </w:p>
        </w:tc>
        <w:tc>
          <w:tcPr>
            <w:tcW w:w="14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Exchange Rate</w:t>
            </w:r>
          </w:p>
        </w:tc>
        <w:tc>
          <w:tcPr>
            <w:tcW w:w="240" w:type="dxa"/>
            <w:vAlign w:val="bottom"/>
          </w:tcPr>
          <w:p>
            <w:pPr>
              <w:spacing w:after="0"/>
              <w:rPr>
                <w:sz w:val="14"/>
                <w:szCs w:val="14"/>
                <w:color w:val="auto"/>
              </w:rPr>
            </w:pPr>
          </w:p>
        </w:tc>
        <w:tc>
          <w:tcPr>
            <w:tcW w:w="1240" w:type="dxa"/>
            <w:vAlign w:val="bottom"/>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Constant</w:t>
            </w:r>
          </w:p>
        </w:tc>
        <w:tc>
          <w:tcPr>
            <w:tcW w:w="8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Constant</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Effect</w:t>
            </w:r>
          </w:p>
        </w:tc>
        <w:tc>
          <w:tcPr>
            <w:tcW w:w="2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Aortic stent grafts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40,479</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On-X</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22,208</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Surgical sealants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18,855</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8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91,442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78,798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84,083</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Preservation services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20,201</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61"/>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116,337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104,284</w:t>
            </w:r>
          </w:p>
        </w:tc>
        <w:tc>
          <w:tcPr>
            <w:tcW w:w="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47,879</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the Middle East, and Africa</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41,726</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61"/>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116,337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104,284</w:t>
            </w:r>
          </w:p>
        </w:tc>
        <w:tc>
          <w:tcPr>
            <w:tcW w:w="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5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detailed discussion of the changes in product revenues and preservation services revenues for the three months ended March 31, 2026 is presented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Revenues from products increased 16% for the three months ended March 31, 2026, as compared to the three months ended March 31, 2025. The increase for the three months ended March 31, 2026 was due to an increase in revenues from aortic stent grafts, On-X products, and surgical sealants, partially offset by a decrease in revenues from other products. A discussion of the changes in product revenues for aortic stent grafts, On-X products, surgical sealants, and other product revenues is presented below.</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of certain products through our direct sales force and distributors across Europe and various other countries are denominated in a variety of currencies including Euros, Brazilian Reals, Polish Zlotys, British Pounds, Canadian Dollars, and Swiss Francs with a concentration denominated in Euros. Each currency is subject to exchange rate fluctuations. For the three months ended March 31, 2026, as compared to the three months ended March 31, 2025, the US Dollar weakened in comparison to major currencies, resulting in revenue increases when these foreign currency denominated transactions were translated into US Dollars. Future changes in these exchange rates could have a material, adverse effect on our revenues denominated in these currencies. Additionally, our sales to many distributors around the world are denominated in US Dollars, and although these sales are not directly impacted by currency exchange rates, we believe that some of our distributors may delay or reduce purchases of products in US Dollars depending on the relative price of these goods in their local currencies.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Aortic Stent Grafts</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Aortic stent grafts include aortic arch stent grafts, abdominal stent grafts, and synthetic vascular grafts, and original equipment manufacturing (“OEM”) aortic stent graft products. Aortic arch stent grafts include our E-vita Open NEO, E-vita Open Plus, AMDS, the NEXUS family of products, and E-vita Thoracic 3G products. Abdominal stent grafts include our E-xtra Design Engineering, E-nside, Artivex, E-tegra, E-ventus BX, Tuva BX, and E-liac products. Aortic stent grafts are used in endovascular and open vascular surgery for the treatment of complex aortic arch, thoracic, and abdominal aortic diseases. Our aortic stent grafts are primarily distributed in international markets.</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Revenues from the sales of aortic stent grafts increased 21% for the three months ended March 31, 2026, as compared to the three months ended March 31, 2025. This increase was primarily due to an increase in the volume of higher priced units sold, the effect of foreign exchange rates, as well as an increase in average sales prices.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Constant currency revenues from the sales of aortic stent grafts increased 10% for the three months ended March 31, 2026, as compared to the three months ended March 31, 2025. Revenues for the three months ended March 31, 2026 increased primarily in North America, and Europe, the Middle East, and Africa (collectively, “EMEA”), partially offset by a decrease in Asia Pacific (“APAC”) and Latin America (“LATAM”). The revenue increase in North America for the three months ended March 31, 2026 was primarily due to an increase in sales of AMDS, reflecting increased adoption following the grant of a humanitarian device exemption (“HDE”) by the FDA in December 2024 for use of the AMDS™ Hybrid Prosthesis in acute DeBakey Type I dissections in the presence of malperfusion. The HDE allows for, subject to certain restrictions, commercial distribution of AMDS in the United States (“US”) prior to the approval of a Premarket Approval Application, which we currently anticipate receiving in 2026 allowing for full commercial distribution of AMDS in the US. The revenue increase in EMEA for the three months ended March 31, 2026 was primarily due to an increase in volume of higher priced products within the aortic stent graft product line in direct (to hospitals) markets. The decrease in revenues in APAC and LATAM for the three months ended March 31, 2026 was impacted by customer buying patterns in certain markets.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the substantial majority of aortic stent graft revenues were generated from geographies outside the US.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On-X Products</w:t>
      </w:r>
    </w:p>
    <w:p>
      <w:pPr>
        <w:spacing w:after="0" w:line="24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On-X products include the On-X aortic and mitral heart valves and the On-X ascending aortic prosthesis (“AAP”) for heart valve replacement. Revenues from the sales of On-X products include revenues from the distribution of CarbonAid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diffusion catheters and from the sale of Chord-X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ePTFE sutures for mitral chordal replacement. On-X product revenue also includes revenue generated from pyrolytic carbon coating services for OEM customers.</w:t>
      </w: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from the sales of On-X products increased 20% for the three months ended March 31, 2026, as compared to the three months ended March 31, 2025. This increase was primarily due to an increase in the volume of units sold and an increase in average sales prices.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Constant currency revenues from the sales of On-X products increased 17% for the three months ended March 31, 2026, as compared to the three months ended March 31, 2025. The increase in revenues for the three months ended March 31, 2026 was primarily due to growth in North America, EMEA, and APAC, reflecting gains in market share. The increase in revenues from EMEA for the three months ended March 31, 2026 was primarily due to an increase in unit sales in direct markets.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Domestic revenues from the sales of On-X products accounted for 62% and 65% of total On-X revenues for the three months ended March 31, 2026 and 2025,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Surgical Sealants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Surgical sealants include BioGlue products used as an adjunct to standard methods of achieving hemostasis (such as sutures and staples) in adult patients in open surgical repair of large vessels (such as aorta, femoral, and carotid arteries).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from the sales of surgical sealants increased 4% for the three months ended March 31, 2026, as compared to the three months ended March 31, 2025. This increase was primarily due to favorable foreign exchange rates and, to a lesser extent, an increase in average sales prices.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Constant currency revenues from the sales of surgical sealants were flat for the three months ended March 31, 2026, as compared to the three months ended March 31, 2025, as revenue growth in North America and, to a lesser extent, APAC, was offset by a decrease in revenue in LATAM. The increase in revenues in North America for the three months ended March 31, 2026 was primarily due to an increase in unit sales and an increase in average sales prices. The increase in revenues in APAC for the three months ended March 31, 2026 was primarily due to an increase in unit sales. The decrease in revenues in LATAM was primarily due to a decrease in unit sales in indirect markets.</w:t>
      </w: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Domestic revenues from the sales of surgical sealants accounted for 50% and 49% of total surgical sealant revenues for the three months ended March 31, 2026 and 2025,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revenues are comprised of revenues from PhotoFix and PerClot.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revenues decreased 9% for the three months ended March 31, 2026, as compared to the three months ended March 31, 2025. The decrease was primarily due to a decrease in PerClot product revenues resulting from the timing of shipments.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Preservation Services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Preservation services include service revenues from processing cardiac and vascular tissues. Our cardiac valves are primarily used in cardiac replacement and reconstruction surgeries, including the Ross procedure, for patients with endocarditis or congenital heart defects. Our cardiac tissues are primarily distributed in domestic markets. The majority of our vascular preservation services revenues are related to shipments of saphenous veins, which are mainly used in peripheral vascular reconstruction surgeries to avoid limb amputations. Competition with synthetic product alternatives and the availability of tissues for processing are key factors affecting revenue volume that can fluctuate from quarter to quarter. Our vascular tissues are primarily distributed in domestic markets.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evaluate modifications to our tissue processing procedures in an effort to improve tissue processing throughput and yields, reduce costs, and maintain quality across our tissue processing business. Preservation services revenues, particularly revenues for certain high-demand cardiac tissues, can vary from quarter to quarter and year to year due to a variety of factors, including quantity and type of incoming tissues, yields of tissue through the preservation process, timing of receipt of donor information, timing of the release of tissues for implant, demand for certain tissue types due to the number and type of procedures being performed, and pressures from competing products or services.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tissue processing increased 23% for the three months ended March 31, 2026, as compared to the three months ended March 31, 2025. The increase was primarily due to an increase in the volume of higher priced tissues shipped as well as an increase in average sales prices. Revenues for the three months ended March 31, 2025 were adversely affected by the 2024 cybersecurity incident.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Products and Preservation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w:t>
      </w:r>
    </w:p>
    <w:p>
      <w:pPr>
        <w:spacing w:after="0" w:line="26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6" w:lineRule="exact"/>
        <w:rPr>
          <w:sz w:val="20"/>
          <w:szCs w:val="20"/>
          <w:color w:val="auto"/>
        </w:rPr>
      </w:pPr>
    </w:p>
    <w:p>
      <w:pPr>
        <w:ind w:left="8740"/>
        <w:spacing w:after="0"/>
        <w:tabs>
          <w:tab w:leader="none" w:pos="1030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4" w:lineRule="exact"/>
        <w:rPr>
          <w:sz w:val="20"/>
          <w:szCs w:val="20"/>
          <w:color w:val="auto"/>
        </w:rPr>
      </w:pPr>
    </w:p>
    <w:p>
      <w:pPr>
        <w:ind w:left="20"/>
        <w:spacing w:after="0"/>
        <w:tabs>
          <w:tab w:leader="none" w:pos="8180" w:val="left"/>
          <w:tab w:leader="none" w:pos="9080" w:val="left"/>
          <w:tab w:leader="none" w:pos="9760" w:val="left"/>
          <w:tab w:leader="none" w:pos="10660" w:val="left"/>
        </w:tabs>
        <w:rPr>
          <w:sz w:val="20"/>
          <w:szCs w:val="20"/>
          <w:color w:val="auto"/>
        </w:rPr>
      </w:pPr>
      <w:r>
        <w:rPr>
          <w:rFonts w:ascii="Times New Roman" w:cs="Times New Roman" w:eastAsia="Times New Roman" w:hAnsi="Times New Roman"/>
          <w:sz w:val="18"/>
          <w:szCs w:val="18"/>
          <w:color w:val="auto"/>
        </w:rPr>
        <w:t>Cost of products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29,697</w:t>
        <w:tab/>
        <w:t>$</w:t>
      </w:r>
      <w:r>
        <w:rPr>
          <w:sz w:val="20"/>
          <w:szCs w:val="20"/>
          <w:color w:val="auto"/>
        </w:rPr>
        <w:tab/>
      </w:r>
      <w:r>
        <w:rPr>
          <w:rFonts w:ascii="Times New Roman" w:cs="Times New Roman" w:eastAsia="Times New Roman" w:hAnsi="Times New Roman"/>
          <w:sz w:val="17"/>
          <w:szCs w:val="17"/>
          <w:color w:val="auto"/>
        </w:rPr>
        <w:t>25,263</w:t>
      </w:r>
    </w:p>
    <w:p>
      <w:pPr>
        <w:spacing w:after="0" w:line="3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products increased 18% for the three months ended March 31, 2026, as compared to the three months ended March 31, 2025. Cost of products for the three months ended March 31, 2026 and 2025 included costs related to aortic stent grafts, On-X products, surgical sealants, and other products.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total cost of products for the three months ended March 31, 2026 was primarily due to an increase in the unit cost of certain aortic stent grafts and On-X products shipped, and an increase in the volume of On-X products and certain aortic stent grafts shipped, as compared to the three months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Preservation Services</w:t>
      </w:r>
    </w:p>
    <w:p>
      <w:pPr>
        <w:spacing w:after="0" w:line="26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21590</wp:posOffset>
            </wp:positionV>
            <wp:extent cx="19456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19" w:lineRule="exact"/>
        <w:rPr>
          <w:sz w:val="20"/>
          <w:szCs w:val="20"/>
          <w:color w:val="auto"/>
        </w:rPr>
      </w:pPr>
    </w:p>
    <w:p>
      <w:pPr>
        <w:ind w:left="8740"/>
        <w:spacing w:after="0"/>
        <w:tabs>
          <w:tab w:leader="none" w:pos="1030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4" w:lineRule="exact"/>
        <w:rPr>
          <w:sz w:val="20"/>
          <w:szCs w:val="20"/>
          <w:color w:val="auto"/>
        </w:rPr>
      </w:pPr>
    </w:p>
    <w:p>
      <w:pPr>
        <w:ind w:left="20"/>
        <w:spacing w:after="0"/>
        <w:tabs>
          <w:tab w:leader="none" w:pos="8180" w:val="left"/>
          <w:tab w:leader="none" w:pos="9120" w:val="left"/>
          <w:tab w:leader="none" w:pos="9760" w:val="left"/>
          <w:tab w:leader="none" w:pos="10700" w:val="left"/>
        </w:tabs>
        <w:rPr>
          <w:sz w:val="20"/>
          <w:szCs w:val="20"/>
          <w:color w:val="auto"/>
        </w:rPr>
      </w:pPr>
      <w:r>
        <w:rPr>
          <w:rFonts w:ascii="Times New Roman" w:cs="Times New Roman" w:eastAsia="Times New Roman" w:hAnsi="Times New Roman"/>
          <w:sz w:val="18"/>
          <w:szCs w:val="18"/>
          <w:color w:val="auto"/>
        </w:rPr>
        <w:t>Cost of preservation services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11,192</w:t>
        <w:tab/>
        <w:t>$</w:t>
      </w:r>
      <w:r>
        <w:rPr>
          <w:sz w:val="20"/>
          <w:szCs w:val="20"/>
          <w:color w:val="auto"/>
        </w:rPr>
        <w:tab/>
      </w:r>
      <w:r>
        <w:rPr>
          <w:rFonts w:ascii="Times New Roman" w:cs="Times New Roman" w:eastAsia="Times New Roman" w:hAnsi="Times New Roman"/>
          <w:sz w:val="17"/>
          <w:szCs w:val="17"/>
          <w:color w:val="auto"/>
        </w:rPr>
        <w:t>10,138</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preservation services increased 10% for the three months ended March 31, 2026, as compared to the three months ended March 31, 2025. Cost of preservation services included costs for cardiac and vascular tissue preservation services.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total cost of preservation services for the three months ended March 31, 2026 was primarily due to an increase in the volume of certain tissues shipped, as compared to the three months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26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18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75,448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63,577</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as a percentage of total revenues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margin increased 19% for the three months ended March 31, 2026, as compared to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increase in gross margin for the three months ended March 31, 2026, as compared to the three months ended March 31, 2025, was primarily due to a favorable mix of certain products and tissues shipped, an increase in the average sales price of certain products and tissues shipped, a favorable effect of foreign exchange rates, and an increase in volume of certain products and tissues shipped for the three months ended March 31, 2026. The increase was partially offset by unfavorable cost of certain products shipped, as compared to the three months ended March 31, 2025. Gross margin as a percentage of total revenues increased for the three months ended March 31, 2026, as compared to the three months ended March 31, 2025. Gross margin as a percentage of total revenues was positively impacted by a favorable product mix and favorable pricing of certain products and tissues shipped, partially offset by unfavorable costs of certain products shipped during the three months ended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Marketing Expenses</w:t>
      </w:r>
    </w:p>
    <w:p>
      <w:pPr>
        <w:spacing w:after="0" w:line="26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18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administrative, and marketing expenses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60,820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54,704</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administrative, and marketing expenses as a percentage of total revenues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3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General, administrative, and marketing expenses increased 11% for the three months ended March 31, 2026, as compared to the three months ended March 31, 2025, which includes the impact of the Ascyrus contingent consideration fair value adjustment loss of $1.7 million and gain of $2.8 million for the three months ended March 31, 2026 and 2025, respectively. The remaining general, administrative, and marketing expenses for the three months ended March 31, 2026 increased $1.5 million as a result of investments in sales and marketing, as well as investments in information technology, partially offset by $1.5 million in net cyber insurance recoveries received.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6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180" w:type="dxa"/>
            <w:vAlign w:val="bottom"/>
            <w:tcBorders>
              <w:bottom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 as a percentage of total revenues</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3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31% for the three months ended March 31, 2026, as compared to the three months ended March 31, 2025. Research and development spending for the three months ended March 31, 2026 was primarily focused on clinical work to gain regulatory approvals for certain aortic stent grafts.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was $5.4 million and $7.7 million for the three months ended March 31, 2026 and 2025, respectively. Interest expense for the three months ended March 31, 2026 decreased primarily due to lower variable interest rates on our credit facilities and reduced interest expense as a result of the settlement of the Convertible Senior Notes. See Part I, Item 1, Note 8 of the “Notes to Condensed Consolidated Financial Statements” for further discussion of the settlement of the Convertible Senior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 Net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expense (income), net was $0.3 million of expense and $3.1 million of income for the three months ended March 31, 2026 and 2025, respectively. Other expense (income), net for the three months ended March 31, 2026 primarily included a net $0.8 million loss from realized and unrealized effects of foreign currency gains and losses, partially offset by a $0.5 million gain associated with fair value adjustments to loans issued pursuant to our Endospan agreements. Other expense (income), net for the three months ended March 31, 2025 primarily included a net $2.9 million gain from realized and unrealized effects of foreign currency gains and losses and a $0.3 million gain associated with fair value adjustments to loans issued pursuant to our Endospan agreements.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7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effective income tax rate was a benefit of 318% and 78% for the three months ended March 31, 2026 and 2025, respectively. The effective income tax rate for the three months ended March 31, 2026 was primarily impacted by excess tax deductions on stock-based compensation, partially offset by state income taxes, non-deductible executive compensation, and changes in our valuation allowance against net deferred tax assets.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have reflected the impact of the enactment in our results for the three months ended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 of Financial Performance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presented in accordance with US GAAP, we use constant currency revenues, which is a non-GAAP financial measure. We define constant currency revenues as revenues adjusted for the exchange rate effect. We define exchange rate effect as the year-over-year impact of foreign currency movements using current period foreign currency rates applied to prior period transactional currency amounts.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provided non-GAAP financial measures in this report as we believe that these figures are helpful in allowing management and investors to more accurately assess the ongoing nature of our operations and measure our performance more consistently across periods. Management uses constant currency revenues internally to assess the operational performance of the Company, as a component in compensation metrics, and as a basis for strategic planning.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provided non-GAAP measures are meaningful in addition to the information contained in the US GAAP presentation of financial performance. Investors should consider this non-GAAP information in addition to, and not as a substitute for, financial measures prepared in accordance with US GAAP. In addition, this non-GAAP financial information may not be the same as similar measures presented by other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Historically, we believe the demand for most of our aortic stent grafts is seasonal, with a decline in demand generally occurring in the third quarter primarily due to the summer holiday season in Europe.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Historically, we believe the demand for surgical sealants is seasonal, with a decline in demand generally occurring in the third quarter followed by stronger demand in the fourth quarter. We believe that this trend may be due to the summer holiday season in Europe and the US.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Demand for our vascular preservation services has also traditionally been seasonal, with lowest demand generally occurring in the fourth quarter. We believe this trend for vascular preservation services is primarily due to fewer vascular surgeries being scheduled during the winter holiday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demand for our On-X products, other products, and cardiac preservation services is materially seasonal.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uses of liquidity include the payment of operating expenses, capital expenditures, servicing of debt and the funding of acquisitions or other collaborative arrangements. Our primary sources of funding are operating cash flows and borrowings under our debt facilities. As of March 31, 2026 we had approximately $220.0 million of total principal indebtedness outstanding.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as of March 31, 2026 consisted of cash and cash equivalents of $55.8 million, unused commitments of $30.0 million under a revolving credit facility, and unused commitments of $150.0 million on the new delayed draw term loan facility (see “Credit Facilities” below). As of March 31, 2026 approximately 33% of our cash and cash equivalents were held in foreign jurisdictions. Our practice is to maintain sufficient liquidity through cash from operations and our revolving credit facility to mitigate the impacts of any adverse financial market conditions on our operations. We believe that cash generated from operations, together with amounts available under our Credit Facilities, as defined below, will be sufficient to meet working capital requirements and anticipated capital expenditures, and other strategic uses of cash, if any, and debt payments, if any, over the next twelve months.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t>
      </w:r>
      <w:r>
        <w:rPr>
          <w:rFonts w:ascii="Times New Roman" w:cs="Times New Roman" w:eastAsia="Times New Roman" w:hAnsi="Times New Roman"/>
          <w:sz w:val="17"/>
          <w:szCs w:val="17"/>
          <w:color w:val="auto"/>
        </w:rPr>
        <w:t>ur future cash requirements are expected to include interest payments under our credit facilities, expenditures for clinical trials, research and development</w:t>
      </w:r>
    </w:p>
    <w:p>
      <w:pPr>
        <w:spacing w:after="0" w:line="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expenditures, general working capital needs, capital expenditures, other corporate purposes, obligations pursuant to the exercise of the Endospan purchase option, and may include cash to fund other business development activities including obligations pursuant to the acquisition of Ascyrus and Endospan. These items may have a significant effect on our future cash flows during the next twelve months. Subject to the terms of our credit facilities, we may seek additional borrowing capacity or financing, pursuant to our current or any future shelf registration statement, for general corporate purposes or to fund other future cash requirements. If we undertake any further significant business development activity, we may need to finance such activities by obtaining additional debt financing or using a registration statement to sell equity securities. There can be no assurance that we will be able to obtain any additional debt or equity financing at the time needed or that such financing will be available on terms that are favorable or acceptable to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Sources and Uses of Liquidity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January 18, 2024 we entered into a credit and guaranty agreement with Ares Management Credit funds (the “Ares Credit Agreement”) for $350.0 million of senior secured, interest-only, credit facilities, consisting of a $190.0 million secured term loan facility (the “Term Loan Facility”), a $100.0 million secured delayed draw term loan facility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the “Delayed Draw Term Loan Facility” and, together with the Term Loan Facility, the “Term Loan</w:t>
      </w: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Facilities”) and a $60.0 million “senior-priority” secured revolving credit facility with a priority claim ahead of the other secured facilities (the “Revolving Credit Facility” and, together with the Term Loan Facilities, the “Credit Facilities”). Upon closing, we borrowed $190.0 million under the Term Loan Facility and $30.0 million under the Revolving Credit Facility. The proceeds of the initial borrowings were used along with cash on hand to pay off our previously existing credit agreement and pay related fees and expenses. The Delayed Draw Term Loan Facility remained undrawn and was terminated on July 2, 2025 as we </w:t>
      </w:r>
      <w:r>
        <w:rPr>
          <w:rFonts w:ascii="Times New Roman" w:cs="Times New Roman" w:eastAsia="Times New Roman" w:hAnsi="Times New Roman"/>
          <w:sz w:val="18"/>
          <w:szCs w:val="18"/>
          <w:color w:val="212529"/>
        </w:rPr>
        <w:t>entered into separate, privately negotiated exchange agreements with the Holders of</w:t>
      </w:r>
      <w:r>
        <w:rPr>
          <w:rFonts w:ascii="Times New Roman" w:cs="Times New Roman" w:eastAsia="Times New Roman" w:hAnsi="Times New Roman"/>
          <w:sz w:val="18"/>
          <w:szCs w:val="18"/>
          <w:color w:val="auto"/>
        </w:rPr>
        <w:t xml:space="preserve"> the Convertible Senior Notes as discussed below.</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12, 2025 we entered into a Second Amendment to the credit and guaranty agreement (the “Amendment”), with Ares Management Credit funds, which amends the credit and guaranty agreement dated as of January 18, 2024. The Amendment provides for (i) an extension of the maturity date of the existing term loans (the “Existing Term Loan Facility”) and the existing revolving credit facility (the “Existing Revolving Credit Facility”) under the Credit Agreement by one year to January 18, 2031, (ii) a reduction in the interest rate margin applicable to the Existing Term Loan Facility and the Existing Revolving Credit Facility and (iii) a new $150.0 million secured delayed draw term loan facility (the “New Delayed Draw Term Loan Facility” and, together with the Existing Term Loan Facility, the “Term Loan Facilities”).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May 2026, in connection with our election to exercise the Endospan Option, we borrowed $150.0 million under the New Delayed Draw Term Loan Facility, of which $135.0 million will be used to fund the upfront purchase price for the acquisition of Endospan. See Part I, Item 1, Note 3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“Agreements with Endospan” for further discussion of the Endospan Option acquisition.</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final scheduled maturity date of the Credit Facilities is January 18, 2031. There are no scheduled repayments of principal required to be made prior to the final maturity date. We have the right to prepay loans under the Credit Agreement in whole or in part at any time, subject to certain premium payment requirements. Amounts repaid in respect of loans under the Term Loan Facilities may not be reborrowed. The Credit Facilities currently bear interest at the </w:t>
      </w:r>
      <w:r>
        <w:rPr>
          <w:rFonts w:ascii="Times New Roman" w:cs="Times New Roman" w:eastAsia="Times New Roman" w:hAnsi="Times New Roman"/>
          <w:sz w:val="18"/>
          <w:szCs w:val="18"/>
          <w:color w:val="212529"/>
        </w:rPr>
        <w:t xml:space="preserve">Secured Overnight Financing Rate (“SOFR”) </w:t>
      </w:r>
      <w:r>
        <w:rPr>
          <w:rFonts w:ascii="Times New Roman" w:cs="Times New Roman" w:eastAsia="Times New Roman" w:hAnsi="Times New Roman"/>
          <w:sz w:val="18"/>
          <w:szCs w:val="18"/>
          <w:color w:val="000000"/>
        </w:rPr>
        <w:t>plus applicable margins. As of March 31, 2026 the aggregate interest rate was 8.41% and 7.16% per annum</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for the Term Loan Facility and Revolving Credit Facility, respectively. See Part I, Item 1, Note 8 of the “Notes to Condensed Consolidated Financial Statements” for further discussion of our new Ares Credit Agreement.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June 18, 2020 we issued $100.0 million aggregate principal amount of 4.25% Convertible Senior Notes with a maturity date of July 1, 2025 (the “Convertible Senior Notes”). </w:t>
      </w:r>
      <w:r>
        <w:rPr>
          <w:rFonts w:ascii="Times New Roman" w:cs="Times New Roman" w:eastAsia="Times New Roman" w:hAnsi="Times New Roman"/>
          <w:sz w:val="18"/>
          <w:szCs w:val="18"/>
          <w:color w:val="212529"/>
        </w:rPr>
        <w:t>In May 2025 we entered into separate, privately negotiated exchange agreements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12529"/>
        </w:rPr>
        <w:t>Exchange Agreements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12529"/>
        </w:rPr>
        <w:t>) with the 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of </w:t>
      </w:r>
      <w:r>
        <w:rPr>
          <w:rFonts w:ascii="Times New Roman" w:cs="Times New Roman" w:eastAsia="Times New Roman" w:hAnsi="Times New Roman"/>
          <w:sz w:val="18"/>
          <w:szCs w:val="18"/>
          <w:color w:val="000000"/>
        </w:rPr>
        <w:t>the Convertible Senior Notes</w:t>
      </w:r>
      <w:r>
        <w:rPr>
          <w:rFonts w:ascii="Times New Roman" w:cs="Times New Roman" w:eastAsia="Times New Roman" w:hAnsi="Times New Roman"/>
          <w:sz w:val="18"/>
          <w:szCs w:val="18"/>
          <w:color w:val="212529"/>
        </w:rPr>
        <w:t xml:space="preserve">. The transactions contemplated by the Exchange Agreements closed on May 28, 2025. Under the terms of the Exchange Agreements, the Holders exchanged an aggregate principal amount of approximately $99.5 million of the </w:t>
      </w:r>
      <w:r>
        <w:rPr>
          <w:rFonts w:ascii="Times New Roman" w:cs="Times New Roman" w:eastAsia="Times New Roman" w:hAnsi="Times New Roman"/>
          <w:sz w:val="18"/>
          <w:szCs w:val="18"/>
          <w:color w:val="000000"/>
        </w:rPr>
        <w:t>Convertible Senior</w:t>
      </w:r>
      <w:r>
        <w:rPr>
          <w:rFonts w:ascii="Times New Roman" w:cs="Times New Roman" w:eastAsia="Times New Roman" w:hAnsi="Times New Roman"/>
          <w:sz w:val="18"/>
          <w:szCs w:val="18"/>
          <w:color w:val="212529"/>
        </w:rPr>
        <w:t xml:space="preserve"> Notes held by the Holders in exchange for an aggregate of 4,334,347 shares of our common stock. In addition, pursuant to the Exchange Agreements, we made a cash payment of approximately $1.7 million to the Holders in respect of accrued and unpaid interest on the exchanged </w:t>
      </w:r>
      <w:r>
        <w:rPr>
          <w:rFonts w:ascii="Times New Roman" w:cs="Times New Roman" w:eastAsia="Times New Roman" w:hAnsi="Times New Roman"/>
          <w:sz w:val="18"/>
          <w:szCs w:val="18"/>
          <w:color w:val="000000"/>
        </w:rPr>
        <w:t>Convertible Senior</w:t>
      </w:r>
      <w:r>
        <w:rPr>
          <w:rFonts w:ascii="Times New Roman" w:cs="Times New Roman" w:eastAsia="Times New Roman" w:hAnsi="Times New Roman"/>
          <w:sz w:val="18"/>
          <w:szCs w:val="18"/>
          <w:color w:val="212529"/>
        </w:rPr>
        <w:t xml:space="preserve"> Notes. </w:t>
      </w:r>
      <w:r>
        <w:rPr>
          <w:rFonts w:ascii="Times New Roman" w:cs="Times New Roman" w:eastAsia="Times New Roman" w:hAnsi="Times New Roman"/>
          <w:sz w:val="18"/>
          <w:szCs w:val="18"/>
          <w:color w:val="000000"/>
        </w:rPr>
        <w:t>The remaining</w:t>
      </w:r>
      <w:r>
        <w:rPr>
          <w:rFonts w:ascii="Times New Roman" w:cs="Times New Roman" w:eastAsia="Times New Roman" w:hAnsi="Times New Roman"/>
          <w:sz w:val="18"/>
          <w:szCs w:val="18"/>
          <w:color w:val="212529"/>
        </w:rPr>
        <w:t xml:space="preserve"> $0.5 million in aggregate principal amount of the </w:t>
      </w:r>
      <w:r>
        <w:rPr>
          <w:rFonts w:ascii="Times New Roman" w:cs="Times New Roman" w:eastAsia="Times New Roman" w:hAnsi="Times New Roman"/>
          <w:sz w:val="18"/>
          <w:szCs w:val="18"/>
          <w:color w:val="000000"/>
        </w:rPr>
        <w:t>Convertible Senior Notes was settled on July 1, 2025 resulting in the issuance of</w:t>
      </w:r>
      <w:r>
        <w:rPr>
          <w:rFonts w:ascii="Times New Roman" w:cs="Times New Roman" w:eastAsia="Times New Roman" w:hAnsi="Times New Roman"/>
          <w:sz w:val="18"/>
          <w:szCs w:val="18"/>
          <w:color w:val="212529"/>
        </w:rPr>
        <w:t xml:space="preserve"> 19,605 </w:t>
      </w:r>
      <w:r>
        <w:rPr>
          <w:rFonts w:ascii="Times New Roman" w:cs="Times New Roman" w:eastAsia="Times New Roman" w:hAnsi="Times New Roman"/>
          <w:sz w:val="18"/>
          <w:szCs w:val="18"/>
          <w:color w:val="000000"/>
        </w:rPr>
        <w:t>shares of our common stock.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flows from operating activities, investing activities, and financing activities for the periods indicated (in thousands):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Operating Activities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21590</wp:posOffset>
            </wp:positionV>
            <wp:extent cx="19456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9" w:lineRule="exact"/>
        <w:rPr>
          <w:sz w:val="20"/>
          <w:szCs w:val="20"/>
          <w:color w:val="auto"/>
        </w:rPr>
      </w:pPr>
    </w:p>
    <w:p>
      <w:pPr>
        <w:ind w:left="54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83" w:lineRule="exact"/>
        <w:rPr>
          <w:sz w:val="20"/>
          <w:szCs w:val="20"/>
          <w:color w:val="auto"/>
        </w:rPr>
      </w:pPr>
    </w:p>
    <w:p>
      <w:pPr>
        <w:spacing w:after="0"/>
        <w:tabs>
          <w:tab w:leader="none" w:pos="960" w:val="left"/>
          <w:tab w:leader="none" w:pos="1560" w:val="left"/>
          <w:tab w:leader="none" w:pos="2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1,154</w:t>
        <w:tab/>
        <w:t>$</w:t>
      </w:r>
      <w:r>
        <w:rPr>
          <w:sz w:val="20"/>
          <w:szCs w:val="20"/>
          <w:color w:val="auto"/>
        </w:rPr>
        <w:tab/>
      </w:r>
      <w:r>
        <w:rPr>
          <w:rFonts w:ascii="Times New Roman" w:cs="Times New Roman" w:eastAsia="Times New Roman" w:hAnsi="Times New Roman"/>
          <w:sz w:val="18"/>
          <w:szCs w:val="18"/>
          <w:color w:val="auto"/>
        </w:rPr>
        <w:t>(16,953)</w:t>
      </w:r>
    </w:p>
    <w:p>
      <w:pPr>
        <w:spacing w:after="0" w:line="36" w:lineRule="exact"/>
        <w:rPr>
          <w:sz w:val="20"/>
          <w:szCs w:val="20"/>
          <w:color w:val="auto"/>
        </w:rPr>
      </w:pPr>
    </w:p>
    <w:p>
      <w:pPr>
        <w:ind w:left="820"/>
        <w:spacing w:after="0"/>
        <w:tabs>
          <w:tab w:leader="none" w:pos="2460" w:val="left"/>
        </w:tabs>
        <w:rPr>
          <w:sz w:val="20"/>
          <w:szCs w:val="20"/>
          <w:color w:val="auto"/>
        </w:rPr>
      </w:pPr>
      <w:r>
        <w:rPr>
          <w:rFonts w:ascii="Times New Roman" w:cs="Times New Roman" w:eastAsia="Times New Roman" w:hAnsi="Times New Roman"/>
          <w:sz w:val="18"/>
          <w:szCs w:val="18"/>
          <w:color w:val="auto"/>
        </w:rPr>
        <w:t>(10,503)</w:t>
      </w:r>
      <w:r>
        <w:rPr>
          <w:sz w:val="20"/>
          <w:szCs w:val="20"/>
          <w:color w:val="auto"/>
        </w:rPr>
        <w:tab/>
      </w:r>
      <w:r>
        <w:rPr>
          <w:rFonts w:ascii="Times New Roman" w:cs="Times New Roman" w:eastAsia="Times New Roman" w:hAnsi="Times New Roman"/>
          <w:sz w:val="18"/>
          <w:szCs w:val="18"/>
          <w:color w:val="auto"/>
        </w:rPr>
        <w:t>(3,638)</w:t>
      </w:r>
    </w:p>
    <w:p>
      <w:pPr>
        <w:spacing w:after="0" w:line="41" w:lineRule="exact"/>
        <w:rPr>
          <w:sz w:val="20"/>
          <w:szCs w:val="20"/>
          <w:color w:val="auto"/>
        </w:rPr>
      </w:pPr>
    </w:p>
    <w:p>
      <w:pPr>
        <w:ind w:left="1120"/>
        <w:spacing w:after="0"/>
        <w:tabs>
          <w:tab w:leader="none" w:pos="2540" w:val="left"/>
        </w:tabs>
        <w:rPr>
          <w:sz w:val="20"/>
          <w:szCs w:val="20"/>
          <w:color w:val="auto"/>
        </w:rPr>
      </w:pPr>
      <w:r>
        <w:rPr>
          <w:rFonts w:ascii="Times New Roman" w:cs="Times New Roman" w:eastAsia="Times New Roman" w:hAnsi="Times New Roman"/>
          <w:sz w:val="18"/>
          <w:szCs w:val="18"/>
          <w:color w:val="auto"/>
        </w:rPr>
        <w:t>463</w:t>
      </w:r>
      <w:r>
        <w:rPr>
          <w:sz w:val="20"/>
          <w:szCs w:val="20"/>
          <w:color w:val="auto"/>
        </w:rPr>
        <w:tab/>
      </w:r>
      <w:r>
        <w:rPr>
          <w:rFonts w:ascii="Times New Roman" w:cs="Times New Roman" w:eastAsia="Times New Roman" w:hAnsi="Times New Roman"/>
          <w:sz w:val="18"/>
          <w:szCs w:val="18"/>
          <w:color w:val="auto"/>
        </w:rPr>
        <w:t>3,937</w:t>
      </w:r>
    </w:p>
    <w:p>
      <w:pPr>
        <w:spacing w:after="0" w:line="31" w:lineRule="exact"/>
        <w:rPr>
          <w:sz w:val="20"/>
          <w:szCs w:val="20"/>
          <w:color w:val="auto"/>
        </w:rPr>
      </w:pPr>
    </w:p>
    <w:p>
      <w:pPr>
        <w:ind w:left="2700" w:hanging="1656"/>
        <w:spacing w:after="0"/>
        <w:tabs>
          <w:tab w:leader="none" w:pos="2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26035</wp:posOffset>
            </wp:positionV>
            <wp:extent cx="19456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6" w:lineRule="exact"/>
        <w:rPr>
          <w:sz w:val="20"/>
          <w:szCs w:val="20"/>
          <w:color w:val="auto"/>
        </w:rPr>
      </w:pPr>
    </w:p>
    <w:p>
      <w:pPr>
        <w:spacing w:after="0"/>
        <w:tabs>
          <w:tab w:leader="none" w:pos="880" w:val="left"/>
          <w:tab w:leader="none" w:pos="238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(9,144)  $</w:t>
      </w:r>
      <w:r>
        <w:rPr>
          <w:sz w:val="20"/>
          <w:szCs w:val="20"/>
          <w:color w:val="auto"/>
        </w:rPr>
        <w:tab/>
      </w:r>
      <w:r>
        <w:rPr>
          <w:rFonts w:ascii="Times New Roman" w:cs="Times New Roman" w:eastAsia="Times New Roman" w:hAnsi="Times New Roman"/>
          <w:sz w:val="18"/>
          <w:szCs w:val="18"/>
          <w:b w:val="1"/>
          <w:bCs w:val="1"/>
          <w:color w:val="auto"/>
        </w:rPr>
        <w:t>(15,770)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28575</wp:posOffset>
            </wp:positionV>
            <wp:extent cx="194564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45640" cy="34290"/>
                    </a:xfrm>
                    <a:prstGeom prst="rect">
                      <a:avLst/>
                    </a:prstGeom>
                    <a:noFill/>
                  </pic:spPr>
                </pic:pic>
              </a:graphicData>
            </a:graphic>
          </wp:anchor>
        </w:drawing>
      </w:r>
    </w:p>
    <w:p>
      <w:pPr>
        <w:spacing w:after="0" w:line="794" w:lineRule="exact"/>
        <w:rPr>
          <w:sz w:val="20"/>
          <w:szCs w:val="20"/>
          <w:color w:val="auto"/>
        </w:rPr>
      </w:pPr>
    </w:p>
    <w:p>
      <w:pPr>
        <w:sectPr>
          <w:pgSz w:w="11900" w:h="16838" w:orient="portrait"/>
          <w:cols w:equalWidth="0" w:num="2">
            <w:col w:w="7480" w:space="720"/>
            <w:col w:w="3040"/>
          </w:cols>
          <w:pgMar w:left="320" w:top="108" w:right="339" w:bottom="1440" w:gutter="0" w:footer="0" w:header="0"/>
          <w:type w:val="continuous"/>
        </w:sectPr>
      </w:pPr>
    </w:p>
    <w:p>
      <w:pPr>
        <w:spacing w:after="0" w:line="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Net cash provided by operating activities increased $18.1 million during the three months ended March 31, 2026, as compared to the three months ended March 31, 2025, primarily due to increased profitability, an increase in cash collected from customers, and the favorable impact of lower costs and insurance recoveries associated with the 2024 cybersecurity incident. These favorable impacts were partially offset by an increase in inventories and deferred preservation costs to support the increase in revenues.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$10.5 million and $3.6 million for the three months ended March 31, 2026 and 2025, respectively. During the three months ended March 31, 2026 cash flows used in investing activities included $8.0 million of cash used for capital expenditures, $1.5 million payment related to sale of PerClot, and $1.0 million payment for Endospan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$0.5 million and $3.9 million for the three months ended March 31, 2026 and 2025, respectively. The current year cash provided by financing activities was primarily due to $1.3 million of proceeds from the exercise of stock options and issuances of common stock, partially offset by $0.6 million for principal payments on short-term notes payable.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Scheduled Contractual Obligations and Future Payments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March 31, 2026 there have been no material changes outside of the ordinary course of business with respect to our material cash requirements for our contractual and other obligations as set forth in the table included in Part II, Item 7 of our Annual Report on Form 10-K for the year ended December 31, 2025.</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expenditures were $8.0 million and $3.6 million for the three months ended March 31, 2026 and 2025, respectively. Capital expenditures for the three months ended March 31, 2026 were primarily related to computer software development, purchases of manufacturing and tissue processing equipment, leasehold improvements, and computer equipment to support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As of March 31, 2026 there have been no material changes to our indemnification obligations as disclosed in Part II, Item 8, Note 11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“Commitments and Contingencies” in our Annual Report on Form 10-K for the year ended December 31, 2025. For information concerning contingencies, see Note 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“Commitments and Contingencies” in Part I, Item 1 of this Form 10-Q.</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For a discussion of recent accounting pronouncements, see Note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“Basis of Presentation and Summary of Significant Accounting Policies” in Part I, Item 1 of this Form 10-Q.</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“Risk Factors” identified in Part II, Item 1A of this Form 10-Q.</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We are exposed to a variety of market risks, including the effects of changes in interest rates (including credit spreads) and foreign currency exchange rates. We manage our exposure to these market risks through our regular operating and financing activities. As of March 31, 2026 there has been no material change in the information reported under Part II, Item 7A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“Quantitative and Qualitative Disclosures About Market Risk” in our Annual Report on Form 10-K for the year ended December 31,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(“Disclosure Controls”) as such term is defined under Rule 13a-15(e) promulgated under the Exchange Act. These Disclosure Controls are designed to ensure that information required to be disclosed in our Exchange Act reports is recorded, processed, summarized, and reported within the time periods specified in the US Securities and Exchange Commission’s (“SEC”) rules and forms and that such information is accumulated and communicated to management, including to the Chief Executive Officer (“CEO”) and the Chief Operating Officer (“COO”), Chief Financial Officer (“CFO”) and Treasurer, as appropriate, to allow timely decisions regarding required disclosures.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including our President and CEO and our Executive Vice President, COO, CFO and Treasurer, does not expect that our Disclosure Controls will prevent all error and all fraud. A control system, no matter how well conceived and operated, can provide only reasonable, not absolute, assurance that the objectives of the control system are met. The design of any system of controls is based in part upon certain assumptions about the likelihood of future events, and there can be no assurance that any design will succeed in achieving our stated goals under all potential future conditions.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Artivion have been detected. These inherent limitations include the realities that judgments in decision-making can be faulty and that breakdowns can occur because of simple error or mistake. Our Disclosure Controls have been designed to provide reasonable assurance of achieving their objectives.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utilizes the criteria set forth in “Internal Control-Integrated Framework (2013)” issued by the Committee of Sponsoring Organizations of the Treadway Commission to evaluate the effectiveness of our Disclosure Controls over financial reporting. Based upon the most recent Disclosure Controls evaluation conducted by management with the participation of the CEO and CFO, as of March 31, 2026 the CEO and CFO have concluded that our Disclosure Controls were effective at a reasonable assurance level to satisfy their objectives and to ensure that the information required to be disclosed by us in our periodic reports is accumulated and communicated to management, including the CEO and CFO, as appropriate to allow timely decisions regarding disclosure and is recorded, processed, summarized, and reported within the time periods specified in the SEC’s rules and forms.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we upgraded our German Enterprise Resource Planning (“ERP”) system, effective January 1, 2026. During the three months ended March 31, 2026, there have been no changes, including any changes related to the upgrade of the ERP system, that have materially affected, or are reasonably likely to materially affect, our internal control over financial reporting. Our process for evaluating controls and procedures is continuous and encompasses constant improvement of the design and effectiveness of established controls and procedures.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legal proceedings concerning matters arising from the conduct of our business activities. We regularly evaluate the status of legal proceedings in which we are involved in order to assess whether a loss is probable or whether there is a reasonable possibility that a loss or additional loss may have been incurred and to determine if accruals are appropriate. We further evaluate each legal proceeding to assess whether an estimate of possible loss or range of loss can be made.</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Based on current knowledge, we do not believe that there are any pending matters that could potentially have a material, adverse effect on our business, financial condition, results of operations, or cash flows. We are, however, engaged in various legal actions in the normal course of business. There can be no assurances in light of the inherent uncertainties involved in any potential legal proceedings, some of which are beyond our control, and an adverse outcome in any legal proceeding could be material to our results of operations or cash flows for any particular reporting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involves a variety of risks and uncertainties, known and unknown, including, among others, the risks discussed below. These risks should be carefully considered together with the other information provided in this Quarterly Report on Form 10-Q and in our other filings with the SEC. Our failure to adequately anticipate or address these risks and uncertainties may have a material, adverse impact on our business, reputation, revenues, financial condition, profitability, and cash flows. Additional risks and uncertainties not presently known or knowable to us, or that we currently believe to be immaterial, may also adversely affect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Business and Economic Risks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a variety of risks due to our international operations and continued global expansion.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international operations subject us to a number of risks, which may vary significantly from the risks we face in our US operations, including:</w:t>
      </w:r>
    </w:p>
    <w:p>
      <w:pPr>
        <w:spacing w:after="0" w:line="185" w:lineRule="exact"/>
        <w:rPr>
          <w:sz w:val="20"/>
          <w:szCs w:val="20"/>
          <w:color w:val="auto"/>
        </w:rPr>
      </w:pPr>
    </w:p>
    <w:p>
      <w:pPr>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difficulties and costs associated with staffing at all levels, establishing and maintaining internal controls, managing foreign operations and distributor relationships, and selling directly to customers;</w:t>
      </w:r>
    </w:p>
    <w:p>
      <w:pPr>
        <w:jc w:val="both"/>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exposure to corruption and expanded compliance obligations, including under the Foreign Corrupt Practices Act, the UK Bribery Law, local anti-corruption laws, Office of Foreign Asset Control administered sanction programs, the European Union’s General Data Protection Regulation and Corporate Sustainability Reporting Directive, and other emerging corruption, sustainability, and data privacy and cybersecurity regulations;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Overlapping, ambiguous, and potentially conflicting, or unexpected changes in, international legal and regulatory requirements or reimbursement policies and programs;</w:t>
      </w:r>
    </w:p>
    <w:p>
      <w:pPr>
        <w:ind w:left="660" w:right="20" w:hanging="328"/>
        <w:spacing w:after="0" w:line="24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expensive collection cycles in certain countries, particularly those in which our primary customers are government-funded hospitals;</w:t>
      </w:r>
    </w:p>
    <w:p>
      <w:pPr>
        <w:spacing w:after="0" w:line="1" w:lineRule="exact"/>
        <w:rPr>
          <w:rFonts w:ascii="Times New Roman" w:cs="Times New Roman" w:eastAsia="Times New Roman" w:hAnsi="Times New Roman"/>
          <w:sz w:val="18"/>
          <w:szCs w:val="18"/>
          <w:color w:val="auto"/>
        </w:rPr>
      </w:pPr>
    </w:p>
    <w:p>
      <w:pPr>
        <w:ind w:left="660" w:hanging="328"/>
        <w:spacing w:after="0" w:line="24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currency exchange rates, particularly fluctuations in the Euro as compared to the US Dollar and other inflationary pressures, given sensitivity to exchange rates that we experience from our product revenue streams and account balances;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exposure to adverse financial impact and negative erosion of our operating profit margin over time due to increasing inflationary pressures, including impact felt through our supply chain, and this exposure may be increased through our limited ability to raise prices and through global expansion where business occurs with, or pricing is set directly by, government entities, or we are party to long term pricing agreements with governments or local distributors, impacting our ability to pass on rising costs;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 of overlapping tax structures or potential changes in domestic and international tax policy, laws, and treaties; and</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consequences from unexpected global regulatory or tariff and trade developments.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an example of this risk, via a Ministerial Decree of July 6, 2022, published September 15, 2022, the Italian government stated that the spending ceiling for medical devices at the national and regional levels had been exceeded, requiring medical device companies to pay back alleged overpayments the government claims companies received between 2015 and 2018. Ultimately, following the conclusion of judicial challenges, in August 2025, the Italian parliament agreed to a 75% reduction in the amounts due for the 2015–2018 period. The Italian government is currently assessing the amounts due for the 2019–2024 period, and while there are ongoing challenges and negotiations between industry and the government regarding these amounts, our potential repayment exposure for the entire 2019–2025 period is estimated at approximately $2.3 million.</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and performance have been, and may continue to be, impacted by regional and global geopolitical conditions, domestic and foreign trade and monetary policies, and other factors beyond our control, such as Russia’s war with Ukraine and the ongoing Iranian conflict in the Middle East. To date, sanctions and other disruptions in the Eastern European region have not materially impacted our business or ability to supply products to Russia, Belarus, Ukraine, and the region generally; however, continuation or escalation of the wars in Ukraine or instability in the Middle East, and in particular the ongoing conflict in Iran, or increased export controls or additional sanctions imposed on or by impacted countries, their allies, or related entities could adversely affect our financial performance. Although currently we do not have any direct operations in Russia, Ukraine, Israel, Gaza, or Syria, on May 7, 2026, we elected to exercise the option to acquire Endospan pursuant to the Endospan Option Amendment, the NEXUS family of products are solely manufactured by Endospan in Herzliya, Israel. We have not experienced any material disruption of supply from Endospan related to the war in Iran; however, it is difficult to predict the ultimate course of these conflicts and we may face business operations and supply chain disruptions as a result, including disruptions related to shortages of materials and finished goods, higher costs of materials and freight, freight delays, increased energy costs or energy shortages, travel disruptions, currency fluctuation, and disruptions to banking systems or capital markets.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operate in highly competitive market segments, face competition from large, well-established medical device companies and tissue service providers with greater resources and we may not be able to compete effectively.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for our products and services is competitive and affected by new product introductions and activities of other industry participants, including the introduction of novel products and therapies aimed at unrelated disease states or even overall patient health. In addition, such products and therapies like GLP-1 drugs, which we believe have or will have little to no actual impact on demand for our products, can lead to investor and customer confusion, can change investor focus, and can impact the perceived demand for our products, which may affect our stock price even if actual demand for our products is unaffected. We face intense competition in virtually all of our product lines, from, among others, Baxter, Ethicon (a Johnson &amp; Johnson Company), Medtronic, Abbott Laboratories, Edwards Lifesciences, Becton, Dickinson and Company, Integra Life Sciences, LifeNet Health, Corcym, Anteris Technologies, Elutia (formerly Aziyo Biologics), Cook Medical, Gore &amp; Associates, Terumo, LeMaitre Vascular, Maquet, Pfizer, BioCer Entwicklungs-GmbH, and Grena Limited. Several of our competitors enjoy competitive advantages over us, including:</w:t>
      </w:r>
    </w:p>
    <w:p>
      <w:pPr>
        <w:spacing w:after="0" w:line="219" w:lineRule="exact"/>
        <w:rPr>
          <w:sz w:val="20"/>
          <w:szCs w:val="20"/>
          <w:color w:val="auto"/>
        </w:rPr>
      </w:pPr>
    </w:p>
    <w:p>
      <w:pPr>
        <w:ind w:left="660" w:right="2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other resources for research and development, commercialization, acquisitions, and litigation and to weather the impacts of global economic downturns and workforce competition;</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as well as more recognizable trademarks for products similar to products that we sell;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record of obtaining and maintaining regulatory product clearances or approvals;</w:t>
      </w:r>
    </w:p>
    <w:p>
      <w:pPr>
        <w:spacing w:after="0" w:line="17" w:lineRule="exact"/>
        <w:rPr>
          <w:rFonts w:ascii="Times New Roman" w:cs="Times New Roman" w:eastAsia="Times New Roman" w:hAnsi="Times New Roman"/>
          <w:sz w:val="18"/>
          <w:szCs w:val="18"/>
          <w:color w:val="auto"/>
        </w:rPr>
      </w:pPr>
    </w:p>
    <w:p>
      <w:pPr>
        <w:ind w:left="660" w:right="700" w:hanging="328"/>
        <w:spacing w:after="0" w:line="25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relationships with healthcare providers and payors along with better positioning to minimize the impact of consolidated purchasing and other consolidation within the healthcare industry;</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cost of goods sold or preservation costs;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direct sales forces and more established distribution networks.</w:t>
      </w:r>
    </w:p>
    <w:p>
      <w:pPr>
        <w:spacing w:after="0" w:line="1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established and early-stage competitors may have advantages over us in terms of cost structure, pricing, back-office automation, product development, marketing, supply chain, and sourcing, and, if we are unable to compete effectively, our financial results will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significantly dependent on our revenues from tissue preservation services and are subject to a variety of risks affecting them.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Tissue preservation services are a significant source of our revenues, and as such, we face risks if we are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60" w:hanging="328"/>
        <w:spacing w:after="0" w:line="25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sufficient quantities of some human tissue or address potential excess supply of others. We rely primarily upon the efforts of third parties to educate the public and foster a willingness to donate tissue. Factors beyond our control such as supply, regulatory changes, negative publicity concerning methods of tissue recovery or disease transmission from donated tissue, or public opinion of the donor process as well as our own reputation in the industry can negatively impact the supply of tissue;</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receive and process tissues;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our clinical advantages that we rely on as competitive strengths; or</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Mitigate sufficiently the risk that tissue can become contaminated during processing; that processed tissue cannot be end-sterilized and hence carries an inherent risk of infection or disease transmission or that our quality controls can eliminate that risk.</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US and foreign governmental authorities have adopted laws and regulations that restrict tissue preservation services and the avenues available to distribute processed tissues. Any of these laws or regulations could change, including becoming more restrictive, or our interpretation of them could be challenged by governmental authorities.</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an example of this risk, in January 2025, the Center for Biologics Evaluation and Research (“CBER”) of the FDA issued two “final” guidance documents directed at the reduction of the risk of transmission of tuberculosis (Mtb) in processed human tissue (the “Guidances”), which is already exceedingly low. In May 2025, the “final” Guidances were withdrawn and re-issued as drafts, with a public comment period that ended in July 2025. We and a number of other parties filed comments, the vast majority of which sought substantial modifications of the Guidances. We believe these Guidances, if implemented as written, could significantly reduce the supply of safe implantable human tissue without simultaneously reducing the risk of Mtb transmission sufficient to offset the harm to patients caused by reduced safe-tissue supply. Although some industry advocates and health care practitioners have expressed strong opposition to these new Guidances, and a number of them submitted comments regarding the Guidances during the previous comment period, if and how they may ultimately be implemented and enforced, and how they may actually impact the availability of our donated tissue, remains to be seen and is difficult to predict.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significantly dependent on our revenues from BioGlue and are subject to a variety of related risks.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BioGlue is a significant source of our revenues, and as such, any risk adversely affecting our BioGlue products or business would likely be material to our financial results. We face the following risks relating to BioGlue:</w:t>
      </w:r>
    </w:p>
    <w:p>
      <w:pPr>
        <w:spacing w:after="0" w:line="189" w:lineRule="exact"/>
        <w:rPr>
          <w:sz w:val="20"/>
          <w:szCs w:val="20"/>
          <w:color w:val="auto"/>
        </w:rPr>
      </w:pPr>
    </w:p>
    <w:p>
      <w:pPr>
        <w:jc w:val="both"/>
        <w:ind w:left="660" w:hanging="328"/>
        <w:spacing w:after="0" w:line="255"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approval to commercialize BioGlue in certain non-US countries as fast as our competitors do or at all. We also may not be able to capitalize on new BioGlue approvals, including for new indications, in non-US countries; BioGlue contains a bovine blood protein. Animal-based products are subject to increased scrutiny from the public and regulators, who may seek to impose additional regulations, regulatory hurdles or product bans in certain countries on such products; and</w:t>
      </w:r>
    </w:p>
    <w:p>
      <w:pPr>
        <w:spacing w:after="0" w:line="2"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BioGlue is a mature product and other companies may use the inventions disclosed in expired BioGlue patents to develop and make competing products.</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an example of this risk, our regulatory approval for BioGlue in China took significantly longer and required significant additional investment, at least in part, due to BioGlue’s animal of origin components. Although we received approval to market BioGlue in China during the third quarter of 2024, we did not recognize any revenue until the second quarter of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significantly dependent on our revenues from aortic stent grafts and are subject to a variety of related risks.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Aortic stent grafts are a significant source of our revenues, and as such, any risk adversely affecting aortic stent grafts would likely be material to our financial results. We face risks relating to aortic stent grafts based on our ability to:</w:t>
      </w:r>
    </w:p>
    <w:p>
      <w:pPr>
        <w:spacing w:after="0" w:line="18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innovative, high quality, and in-demand aortic repair products;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adequately to enhanced regulatory requirements and enforcement activities, and particularly, our ability to obtain regulatory approvals and renewals globally;</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timely and sustained adoption of new products in our aortic stent graft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demand and manage inventory for aortic stent grafts as we seek to expand our business globally;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productive working relationship with our Works Council in 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significantly dependent on our revenues from On-X products and are subject to a variety of related risks.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On-X products are a significant source of our revenues, and as such, any risk adversely affecting our On-X products or business would likely be material to our financial results. We face risks based on our ability to:</w:t>
      </w:r>
    </w:p>
    <w:p>
      <w:pPr>
        <w:spacing w:after="0" w:line="189" w:lineRule="exact"/>
        <w:rPr>
          <w:sz w:val="20"/>
          <w:szCs w:val="20"/>
          <w:color w:val="auto"/>
        </w:rPr>
      </w:pPr>
    </w:p>
    <w:p>
      <w:pPr>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further market share in the mechanical heart valve market based on the FDA’s approved lower INR indication for the On-X aortic heart valve or complete the associated FDA mandated post-approval studies;</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clinical trial data or changes in technology that may reduce the demand for mechanical heart valves, such as data regarding transcatheter aortic valve replacement, or “TAVR” devices;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up with increasing demand for our On-X products globally;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risks associated with less favorable contract terms for On-X products on consignment at hospitals;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adequately to enhanced international regulatory requirements or enforcement activities.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Continued fluctuation of foreign currencies relative to the US Dollar could materially, adversely affect our business.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our foreign revenues are denominated in Euros, making them sensitive to exchange rate changes. Some sales are made to customers who must convert local currencies into US Dollars or Euros. We hold balances in foreign currencies affected by exchange rates. Global inflation and currency crises could result in foreign currency controls, parallel exchange rates, or highly inflationary economies in certain countries. Fluctuations in exchange rates could materially reduce our future revenues as compared to the comparable prior periods. Should this occur, it could have a material, adverse impact on our revenues, financial condition, profitability, and cash flows.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Some of our products and technologies are subject to significant intellectual property risks and uncertainty.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own trade secrets, patents, patent applications, and licenses relating to our technologies and trademarks and goodwill related to our products and services, which we believe provide us with important competitive advantages. We cannot be certain that we will be able to maintain our trade secrets, that our pending patent applications will issue as patents, or that no one will challenge the validity or enforceability of any intellectual property that we adopt, own, or license. Competitors may independently develop our proprietary technologies or design non-infringing alternatives to patented inventions. We do not control the maintenance, prosecution, enforcement, or strategy for in-licensed intellectual property and as such are dependent in part on the owners of these rights to maintain their viability. Their failure to do so could significantly impair our ability to exploit those technologies. Additionally, our technologies, products, or services could infringe intellectual property rights owned by others, or others could infringe our intellectual property rights.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become involved in intellectual property disputes, the costs could be expensive, and if we were to lose or decide to settle, the amounts or effects of the settlement or award by a tribunal could be costly.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health crises have, may continue to have, and could have a material, adverse impact on us.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our role in the healthcare industry, we are particularly susceptible to the impact public health crises have on healthcare systems globally, including impacts on system capacity and procedure volumes, shortages in healthcare staffing, and restrictions on travel and non-critical hospital access. For example, we experienced negative impacts on our business operations and sales during the COVID-19 pandemic, particularly through reductions in demand for certain products and services due to reduced procedure volumes, or through downstream financial impact from delays or difficulty collecting outstanding receivables. If other public health crises emerge in the future, we may experience similar adverse effects on our business. This impact on healthcare system capacity may also affect our R&amp;D pipeline by lengthening timelines for R&amp;D and clinical research projects and timelines associated with regulatory reviews for new and updated devices, as well as affecting our workforce.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Operational Risks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heavily dependent on our suppliers and contract manufacturers to provide quality products.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materials and supplies used in our product manufacturing and tissue processing are subject to regulatory requirements and oversight. If materials or supplies used in our processes fail to meet these requirements or are subject to regulatory enforcement action, they may have to be scrapped, or our products or tissues could be rejected during or after processing, recalled, or rejected by customers. In these cases, we may have to immediately scrap raw or in-process materials and expense the costs of manufacturing or preservation.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if these materials or supplies, or changes to them, do not receive regulatory approval or are recalled, if the related suppliers and/or their facilities are shut down temporarily or permanently, for any reason, or if the related suppliers are otherwise unable or unwilling to supply us, we may not have sufficient materials or supplies to manufacture our products or process tissues. In addition, we rely on contract manufacturers to manufacture some of our products or to provide additional manufacturing capacity for some products. If these contract manufacturers fail to meet our quality standards or other requirements or if they are unable or unwilling to supply the products, we may not be able to meet demand for these products. Our ability to fully recover all possible losses from these suppliers and contract manufacturers may have practical limitations imposed by factors like industry standard contractual terms or the financial resources of the adverse party.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Finally, the global supply chain is subject to disruption due to labor, geopolitical, trade and monetary issues, which may be exacerbated by ongoing instability in Ukraine and the Middle East. See Part I, Item 1A, “Risk Factors – Business and Economic Risks – We are subject to a variety of risks due to our international operations and continued global expansion.” Although we have yet to experience any material effects of this impact on our supply chain or operations, we face the potential risk that upstream disruptions may occur. Risks relating to the lingering effects of global supply chain disruptions may even continue after current conflicts have subsided.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dependent on single and sole-source suppliers and single facilities.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of the materials, supplies, and services used in our product manufacturing and tissue processing, as well as some of our products, are sourced from single- or sole-source suppliers. As a result, our ability to negotiate favorable terms with those suppliers may be limited, and if those suppliers experience operational, financial, quality, or regulatory difficulties, or if those suppliers and/or their facilities refuse to supply us or cease operations temporarily or permanently, or if those suppliers take unreasonable business positions, we could be forced to cease product manufacturing or tissue processing until the suppliers resume operations, until alternative suppliers can be identified and qualified, or permanently if the suppliers do not resume operations and no alternative suppliers can be identified and qualified. We also could be forced to purchase alternative materials, supplies, or services with unfavorable terms due to diminished bargaining power.</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example of these risks, in 2019 we lost our supply of handpieces for cardiac laser therapy resulting from a manufacturing location change at our supplier that ultimately required a Premarket Approval (“PMA”) supplement and FDA approval before handpiece manufacturing and distribution could resume. Even though the FDA approved the PMA-S, due to supply-related factors outside of our control, we eventually abandoned the business as of June 2023 resulting in a write-off of all of our CardioGenesis cardiac laser therapy assets and a recorded expense of $0.4 million during the year ended December 31, 2023 in our Consolidated Statements of Operations and Comprehensive Loss.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way of additional non-limiting examples, our BioGlue product has three main product components: bovine protein, a cross linker, and a molded plastic resin delivery device. The bovine protein and cross linker are obtained from a small number of qualified suppliers. The delivery devices are manufactured by a single supplier, using resin supplied by a different single supplier. We purchase grafts for our On-X AAP from a single supplier and various other components for our On-X valves come from single-source suppliers.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preservation services business and our ability to supply needed tissues is dependent upon donation of tissues from human donors by donor families. Donated human tissue is procured from deceased human donors by organ and tissue procurement organizations (“OPOs”) and tissue banks. We must rely on the OPOs and tissue banks that we work with to educate the public on the need for donation, to foster a willingness to donate tissue, to follow our donor screening and procurement procedures, and to send donated tissue to us. We have active relationships with approximately 60 OPOs and tissue banks throughout the US. As with any vendor, we believe these relationships with our OPOs are critical in the preservation services industry and that the breadth of these existing relationships provides us with a significant advantage over potential new entrants to this market. We also use various raw materials, including medicines and solutions, in our tissue processing. Some of these raw materials are manufactured by single suppliers or by a small group of suppliers.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aortic stent graft systems consist of two main product components: the stent graft and the delivery system. The stent graft is manufactured from several different raw materials that are manufactured internally or at various external suppliers, including single suppliers. The delivery systems we manufacture are comprised of several different raw materials and subassemblies, some of which are sourced from external suppliers, including single suppliers. Our internal manufacturing processes include machining of plastic parts, suturing of stent grafts, processing of Nitinol, and weaving of textiles. Our conventional polyester grafts consist of two main product components: polyester fabric and collagen coating. The polyester fabric is woven from a few different yarns that are supplied by an external supplier. The collagen suspension we manufacture is comprised of a collagenous tissue that is supplied by a single supplier. The conventional ePTFE grafts we manufacture are comprised of various raw materials supplied by several suppliers. For some products the ePTFE grafts are heparin coated. For these products, the heparin suspension we manufacture is comprised of a heparin solution that is also supplied by an external supplier.</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three internal manufacturing facilities: Austin, Texas for On-X products, Hechingen, Germany for internally manufactured aortic stent grafts, and Kennesaw, Georgia for all other products and services. Certain aortic stent graft assemblies are manufactured for us by a contract manufacturer in Slovakia. The AMDS product is solely manufactured by a supplier in Charlotte, North Carolina, and the NEXUS family of products are solely manufactured by Endospan in Herzliya, Israel. If one of these suppliers or facilities ceases operations temporarily or permanently, for any reason including a pandemic, war, work stoppage, cybersecurity incident, infrastructure or equipment malfunction, or a natural disaster, our business could be substantially disrupted.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work diligently to maintain adequate inventories of raw materials, components, supplies, subassemblies, and finished goods, there can be no assurance that we will be able to avoid all disruptions to our global supply chain, or disruptions to our sterilization or distribution networks. Any of these disruptions could have a material, adverse effect on our revenues, reputation, or profitability.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dependent on our specialized workforce.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and future operating results depend in significant part upon the continued contributions of our specialized workforce, including key personnel, qualified personnel with medical device and tissue processing experience, and senior management with experience in the medical device or tissue processing space, some of whom would be difficult to replace. Our business and future operating results, including production at our manufacturing and tissue processing facilities, also depend in significant part on our ability to attract and retain qualified management, operations, processing, marketing, sales, and support personnel. Our primary facilities are in Kennesaw, Georgia; Austin, Texas; and Hechingen, Germany, where the supply of qualified medical device and tissue processing and other personnel is limited, competition for such personnel is significant, and we cannot ensure that we will be successful in attracting or retaining them. We face risks if we lose any key employees to other employers or due to severe illness, death, or retirement, if any of our key employees fail to perform adequately, or if we are unable to attract and retain skilled employees. Competition for talent and worker shortages at all levels have impacted supply chains and distribution channels and our ability to attract and retain the specialized workforce necessary for our business and operations.</w:t>
      </w: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continue to evaluate expansion through acquisitions of, or licenses with, investments in, and distribution arrangements with, other companies or technologies, which may carry significant risks.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One of our growth strategies is to pursue select acquisitions, licensing, or distribution rights with companies or technologies that complement our existing products, services, and infrastructure. In connection with one or more of these transactions, we may:</w:t>
      </w:r>
    </w:p>
    <w:p>
      <w:pPr>
        <w:spacing w:after="0" w:line="18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equity securities that would dilute our stockholders’ ownership interest;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cash we may need in the future to operate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including on terms that could be unfavorable to us or debt we might be unable to repay;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Structure the transaction resulting in unfavorable tax consequences, such as a stock purchase that does not permit a step-up in basis for the assets acquired;</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realize the anticipated benefits of the transaction;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material unknown liabilities associated with the acquired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Our charges resulting from acquisitions, divestitures, partnerships, and other business development activities may materially, adversely affect the market value of our common stock.</w:t>
      </w:r>
    </w:p>
    <w:p>
      <w:pPr>
        <w:spacing w:after="0" w:line="1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account for the completion of acquisitions using the purchase method of accounting. Our financial results could be adversely affected by a number of financial adjustments required by purchase accounting such as:</w:t>
      </w:r>
    </w:p>
    <w:p>
      <w:pPr>
        <w:spacing w:after="0" w:line="18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amortization expense over the estimated useful lives of some acquired intangible assets;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depreciation expense as a result of recording purchased 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incur material charges relating to any impairment of goodwill and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sales may increase temporarily if acquired inventory is recorded at fair market value;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acquisition consideration consists of earnouts, our earnings may be affected by changes in estimates of future contingent consideration;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may be affected by transaction and integration costs, which are expensed immediately.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example of this risk, we fully impaired the value of our original Securities Purchase Option Agreement with Endospan (“Endospan Option”) in the fourth quarter of 2021 and fully wrote-down the value of our loan to Endospan in the second quarter of 2023, primarily driven by a decrease in forecasted operating results. Although the Endospan Option and our loan to Endospan were partially written back up to fair value in the third quarter of 2024 and subsequent quarters, similar impairments, and other potential risks like those mentioned above, may adversely affect the market value of our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realize all the anticipated benefits of our business development activities.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efforts to drive growth by pursuing select acquisition, license, and distribution opportunities that are aligned to our objectives and complement our existing products, services, and infrastructure or to divest non-core product lines, we have completed several transactions in recent years and may pursue similar additional transactions in the future.</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ability to realize the anticipated business opportunities, growth prospects, cost savings, synergies, and other benefits of these and other transactions depends on a number of factors including our ability to:</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global infrastructure to sell and cross-market the acquired products;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adoption of the NEXUS family of products and AMDS in the US, European, and other markets, including our ability to manage the substantial product training, including physician training, implant support, and proctoring requirements for NEXUS procedures;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acquired products to the US market, including our acquired aortic stent grafts;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Harness the aortic stent graft product pipeline and our research and development capabilities;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approvals in relevant markets, including our ability to timely obtain or maintain CE Mark product certifications for pipeline and current products;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on development and clinical trial timelines for acquired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global inventories, including our ability to manage inventories for product lines with large numbers of product configurations and manage manufacturing and demand cycles to avoid excess inventory obsolescence due to shelf life expiration, particularly for processed tissues and aortic stent grafts;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service, and manage significant debt and repayment obligations;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unforeseen risks and uncertainties related to these transactions, including any related to intellectual property rights.</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our ability to realize the anticipated business opportunities, growth prospects, synergies, and other benefits of our 2019 Endospan transaction depends on a number of additional factors including Endospan’s ability to: (a) comply with the Endospan Loan and other debt obligations, and avoid an event of default; (b) successfully commercialize the NEXUS family of products, raise capital, and drive adoption in markets in and outside of Europe; (c) meet demand for the NEXUS family of products; (d) meet quality and regulatory requirements for the NEXUS family of products; (e) manage any intellectual property risks and uncertainties associated with the NEXUS family of products; (f) obtain FDA approval of the NEXUS family of products; (g) remain as a going concern; and (h) develop the NEXUS family of products, and other product improvements to meet competitive threats and physician demand. As an example of this risk, the forecasted operating results related to NEXUS ONE decreased, resulting in an impairment to the carrying value of the Endospan Option, and a full write-down of the value of our original loan to Endospan, reflecting decreased expectations with respect to the anticipated benefits of the Endospan transaction. Similarly, our ability to realize the anticipated benefits of the Baxter Transaction depends on factors beyond our control, including Baxter’s performance against Baxter’s originally anticipated demand.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these factors are outside of our control and any one of them could result in increased costs, decreased revenues, and diversion of management’s time and energy. The benefits of these transactions may not be achieved within the anticipated time frame or at all. Any of these factors could negatively impact our earnings per share, decrease or delay the expected accretive effect of the transaction, and negatively impact the price of our common stock. In addition, if we fail to realize the anticipated benefits of a transaction, we could experience an interruption or loss of momentum in our existing business activities.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disruptions of information technology systems or breaches of information security systems could adversely affect our business.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upon a combination of information technology systems as well as traditional recordkeeping to operate our business. In the ordinary course of business, we collect, store, and transmit confidential information (including, but not limited to, information about our business, financial information, personnel data, intellectual property, and, in some instances, patient data and other personally identifiable information). Our business operations rely on critical information technology systems related to systems that power aspects of our Quality System (including our eQMS system) and our global operations (including our ERP systems).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experienced, and expect to continue to be subject to the risk of, cybersecurity threats and incidents. For example, we experienced a previously-disclosed cybersecurity incident in the fourth quarter of 2024 that temporarily disrupted our business operations, including our ERP systems, and had an impact on revenue, manufacturing, order processing, shipping, and other corporate operations. We continue to incur expenses in connection with improving our global infrastructure and cybersecurity posture. Additionally, we remain subject to other risks and uncertainties as a result of the incident, including those related to scrap, inventory levels, and timely shipping releases, as well as the potential to incur additional expenses.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invested, and continue to invest, in our information technology and information security systems and employee information security training, there can be no assurance that our efforts will prevent all security breaches, service interruptions, or data losses, particularly in light of rapid improvements in information processing technology accompanying developments in, among other areas, artificial intelligence platforms. In addition, a portion of our employees work remotely, and those employees may use outside technology and systems that are vulnerable to security breaches, service interruptions, data loss or malicious attacks, including by third parties.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limited cyber-insurance coverage that may not cover all possible events, or the financial expenses or losses associated with any particular event, and this insurance is subject to deductibles and coverage limitations. Any security breaches, service interruptions, or data losses could adversely affect our business operations or result in the loss of critical or sensitive confidential information or intellectual property, or in financial, legal, business, and reputational harm to us or allow third parties to gain material, inside information that they may use to trade in our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be impacted by environmental, workforce, and governance-related matters.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governments, investors, customers, employees and other stakeholders are continuing to focus on areas of corporate responsibility, including matters related to environmental impacts, workforce practices, and governance and risk oversight. In some cases, stakeholders are looking to companies that demonstrate strong performance in these areas as being better positioned for long-term resilience. However, there is an increasing number of state-level and federal legislation, executive orders, and other backlash against such matters that may conflict with other regulatory requirements or our various stakeholders’ expectations. Keeping up with and meeting these sometimes contradictory and evolving expectations can be difficult and expensive, may disrupt our business, and may divert the attention of our management. We may be unable to make the investments related to environmental, workforce, or governance initiatives at the same level as our competitors with greater financial resources, or we may be challenged by governmental authorities if we choose to make such investments. Failure to meet the expectations of investors, other stakeholders, or certain governmental authorities in these areas may damage our reputation, impact employee retention, impact the willingness of our customers to do business with us, or otherwise impact our financial results and stock price.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Legal, Quality, and Regulatory Risks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tissues are highly regulated and subject to significant quality and regulatory risks.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commercialization of medical devices and processing and distribution of human tissues are highly complex and subject to significant global quality and regulatory risks, including product recalls, and as such, we face the following risks: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tissues allegedly have caused, and may in the future cause, patient injury, which has exposed, and could in the future expose, us to product recalls and/or liability claims that could lead to additional regulatory scrutiny;</w:t>
      </w:r>
    </w:p>
    <w:p>
      <w:pPr>
        <w:ind w:left="660" w:right="2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and tissue processing operations are subject to regulatory scrutiny, inspections and enforcement actions, and regulatory agencies could require us to change or modify our operations or take other action, such as issuing product recalls or holds;</w:t>
      </w:r>
    </w:p>
    <w:p>
      <w:pPr>
        <w:ind w:left="660" w:right="2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agencies could reclassify, re-evaluate, or suspend our clearances or approvals, or fail to, or decline to, issue or reissue our clearances or approvals that are necessary to sell our products and distribute tissues;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quality requirements are subject to change, which could adversely affect our ability to sell our products or distribute tissues;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associated with our products, processed tissues, or our industry could lead to a decreased use of our products or tissues, increased regulatory scrutiny, or product or tissue processing liability claims.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example of these risks, the European Union’s Medical Device Regulation (the MDR), which was to be fully implemented on May 26, 2021, places stricter requirements on manufacturers and European Notified Bodies regarding, among other things, product classifications and pre- and post-market clinical studies for product clearances and approvals. The MDR could result in product reclassifications or the imposition of other regulatory requirements that could delay, impede, or prevent our ability to commercialize existing, improved, or new products in the European Economic Area and other markets that require or rely on CE Marking as a basis for market authorization.</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transition to the MDR has been fraught with difficulties and uncertainty, including delays in audits and approvals. The European Parliament has extended the MDR transition period under Regulation (EU) 2023/607, but it is still unclear whether this extension will be able to mitigate transition challenges. As a result, we face increased risks related to:</w:t>
      </w:r>
    </w:p>
    <w:p>
      <w:pPr>
        <w:spacing w:after="0" w:line="203" w:lineRule="exact"/>
        <w:rPr>
          <w:sz w:val="20"/>
          <w:szCs w:val="20"/>
          <w:color w:val="auto"/>
        </w:rPr>
      </w:pPr>
    </w:p>
    <w:p>
      <w:pPr>
        <w:ind w:left="660" w:right="2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 Devices: Stricter requirements on manufacturers of custom-made devices may delay, impede, or otherwise impact the availability of our E-xtra Design Engineering services and custom-made products;</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CE Marks: In the past, the extended timeline for the MDR transition has resulted in certain MDD-based CE Marks expiring prior to the completion of the transition; however, we were able to successfully renew such CE Marks under the MDR;</w:t>
      </w: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Notified Bodies: The combination of the increased regulatory framework under the MDR and the UK’s exit from the European Union have both had an impact on notified bodies. The MDR has significantly increased the workload on existing notified bodies and as a result, many have elected to leave the space, including our Notified Body in the UK, LRQA. We have been able to transition our LRQA-issued certification for BioGlue and PhotoFix to a new notified body, DEKRA;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CE Marks: The increased workload on notified bodies and other uncertainties around the transition to the MDR will likely cause delays in the approval for any new products that we may wish to bring to the EU market.</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continue to make progress on the MDR transition, the transition to new notified bodies, and the renewal of expired CE Marks, failure to timely complete any transfers or renewals, or to comply with transition to a newly designated UK Approved Body, or further delays in the MDR transition as a whole, may have a material, adverse effect on our ability to supply product in certain jurisdictions, have a material, adverse impact on our business, and may also impact our Medical Device Single Audit Program (“MDSAP”) certifications. Failure to timely obtain new MDSAP certifications following their expiration may impact our ability to distribute covered products in Australia, Brazil, Canada, and Japan.</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Reclassification by the FDA of CryoValve SG pulmonary heart valve (“CryoValve SGPV”) may make it commercially infeasible to continue processing the CryoValve SGPV.</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Beginning in December 2019 and most recently in the fall of 2024, the FDA indicated that it was planning to issue a proposed rule for reclassification of more than minimally manipulated (“MMM”) allograft heart valves to Class III medical devices, which could include our CryoValve SGPV. Following any comment period and subsequent publication of a final rule, should the CryoValve SGPV be determined to be MMM or classified as a Class III device, we currently expect to have approximately thirty months to submit a PMA application, after which the FDA will determine if, and for how long, we may continue to provide these tissues to customers during its review of the PMA application. Although this proposed rule change has, to our knowledge, remained on the HHS’s unified regulatory agenda since 2019, no final rule has been published at this time.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FDA ultimately classifies our CryoValve SGPV as a Class III medical device, and if there are delays in obtaining the PMA, if we are unsuccessful in obtaining the PMA, or if the costs associated with these activities are significant, we could decide that the requirements for continued processing of the CryoValve SGPV are too onerous, leading us to discontinue distribution of these tissues.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successful in obtaining clinical results or regulatory clearances/approvals for new and existing products and services, and our approved products and services may not achieve market acceptance.</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growth and profitability depend in part upon our ability to develop, and successfully introduce, new products and services, or expand upon existing indications, clearances, and approvals, requiring that we invest significant time and resources to obtain new regulatory clearances/approvals, including investment into pre- and post-market clinical studies. Although we believe certain products and services in our portfolio or under development may be effective in a particular application, we cannot be certain until we successfully execute on relevant clinical trials, and the results we obtain from pre- and post-market clinical studies may be insufficient for us to obtain or maintain any required regulatory approvals or clearances.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an example of this risk, in September 2022 we halted the PROACT Xa clinical trial based on the recommendation of the trial’s Data and Safety Monitoring Board (“DSMB”) due to insufficient evidence to support non-inferiority of apixaban to warfarin for valve thrombosis and thromboembolism. Similarly, in November 2023 we announced that we were no longer pursuing a labeling change for our On-X mitral valve in connection with our PROACT Mitral trial due to additional investments that would be required to do so. Finally, although we have received regulatory approval to market BioGlue in China, it was only after a significantly longer and more expensive regulatory approval process than likely could reasonably have been anticipated when the program began.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our trials, studies, and approvals is subject to the risks outlined herein.</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give assurance that regulatory agencies will clear or approve these products and services or indications, or any new products and services or new indications, on a timely basis, if ever, or that the products and services or new indications will adequately meet the requirements of the market or achieve market acceptance. Pre- and post-market clinical studies may also be delayed or halted due to many factors beyond our control, including, for example, reductions in FDA staff that may affect the agency’s response time.</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are unable to successfully complete the development of a product, service, or application, or if we determine for any reason not to complete development or obtain regulatory approval or clearance of any product, service, or application, particularly in instances when we have expended significant capital, this could materially, adversely affect our financial performance. Halting R&amp;D efforts and clinical trials prematurely may lead to accelerated or unanticipated wind down costs. Even the successful commercialization of a new product or service in the medical industry can be characterized by slow growth and high costs associated with marketing, under-utilized production capacity, and continuing research and development and education costs, among other things. The introduction of new products or services may require significant physician training or years of clinical evidence in order to gain acceptance in the medical community.</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Increased environmental regulations and private litigation activity relating to processes and materials used in our industry could have a material, adverse impact on us.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products, including certain On-X products, are sterilized using ethylene oxide (“EtO”), primarily by third-party, large-scale EtO facilities. In addition, some of our suppliers use, or rely upon third parties to use, EtO to sterilize some of our product components. Concerns about the release of EtO into the environment at unsafe levels have led to increased activism and lobbying as well as various regulatory enforcement activities against EtO facilities, including closures and temporary closures, lawsuits against EtO service providers, and proposals increasing regulations related to EtO. The number of EtO facilities in the US is limited, and any permanent or temporary closures or disruption to their operations for any reason could delay, impede, or prevent our ability to commercialize our products.</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any litigation, regulatory enforcement, or government regulation regarding the use of EtO could result in financial, legal, business, and reputational harm to us.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per-and polyfluoroalkyl substances (“PFAS”) are used in a wide variety of consumer and industrial products, including medical devices and product packaging. PFAS have been subject to increasing global regulations, and in some cases bans, by the Environmental Protection Agency and numerous states. These requirements impose a high compliance burden, and further regulation of PFAS-containing products is expected. Although we have yet to experience any material impact from this activity or identify any of our products materially impacted by PFAS-related regulation, the ultimate impact and associated cost of current and future rulemaking cannot be predicted at this time.</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be subject to fines, penalties, and other sanctions if we are deemed to be promoting the use of our products for unapproved, or off-label, uses.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and future growth depend on the continued use of our products for approved uses. Generally, regulators contend that, unless our products are approved or cleared by a regulatory body for alternative uses, we may not make claims about the safety or effectiveness of our products or promote them for such uses. Such limitations present a risk that law enforcement could allege that the nature and scope of our sales, marketing, or support activities, though designed to comply with all regulatory requirements, constitute unlawful promotion of our products for an unapproved use. We also face the risk that such authorities might pursue enforcement based on past activities that we discontinued or changed. Investigations concerning the promotion of unapproved uses and related issues are typically expensive, disruptive, and burdensome and generate negative publicity. If our promotional activities are found to be in violation of the law, we may face significant fines and penalties and may be required to substantially change our sales, promotion, grant, and educational activities. In addition, we or our officers could be excluded from participation in government healthcare programs such as Medicare and Medicaid.</w:t>
      </w:r>
    </w:p>
    <w:p>
      <w:pPr>
        <w:spacing w:after="0" w:line="14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various US and international bribery, anti-kickback, false claims, privacy, transparency, and similar laws, any breach of which could cause a material, adverse effect on our business, financial condition, and profitability.</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relationships with physicians, hospitals, government officials, healthcare providers, and others are subject to scrutiny under various US and international bribery, anti-kickback, false claims, privacy, transparency, and similar laws, often referred to collectively as “healthcare compliance laws.” Healthcare compliance laws are broad, sometimes ambiguous, counterintuitive, complex, and subject to change and changing interpretations. Our global expansion into higher-risk regions and Russia’s ongoing war with Ukraine and the instability of the Middle East, and the current and future sanctions imposed on Russia and others as a result may exacerbate these risks. See also Part I, Item 1A, “Risk Factors – Business and Economic Risks - We are subject to a variety of risks due to our international operations and continued global expansion.” Possible sanctions for violation of these healthcare compliance laws include fines, civil and criminal penalties, exclusion from government healthcare programs, and despite our compliance efforts, we face the risk of an enforcement activity or a finding of a violation of these laws.</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consulting and product development agreements with healthcare professionals and healthcare organizations, including some who may order our products or make decisions to use them. We have also adopted the AdvaMed Code of Conduct, the MedTech Europe Code of Ethical Business Practice, and the APACMed Code of Ethical Conduct which govern our relationships with healthcare professionals to bolster our compliance with healthcare compliance laws. While our relationships with healthcare professionals, government officials, and organizations are structured to comply with such laws and we conduct training sessions on these laws and codes, it is possible that enforcement authorities may view our relationships as prohibited arrangements that must be restructured or for which we would be subject to other significant civil or criminal penalties or debarment. In any event, any enforcement review of or action against us as a result of such review, regardless of outcome, could be costly and time consuming. Additionally, we cannot predict the impact of any changes in or interpretations of these laws, whether these changes will be retroactive or will have effect on a going-forward basis only.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policy changes may have a material, adverse effect on us.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policies of the current presidential administration in the US continue to bring several potential risks that could impact our business operations and financial performance. Changes in policy regarding international trade, including import and export regulation and international trade agreements, along with resulting volatility, could negatively impact our business. The US has imposed tariffs and export controls on certain goods and products imported from abroad, which has resulted in retaliatory tariffs. Additional tariffs imposed by the US on a broader range of imports, or further retaliatory trade measures taken by other countries in response, could result in an increase in supply chain costs that we may not be able to offset or that otherwise adversely impact our results of operations. In addition, political tensions between the US and certain other countries have escalated in recent years. Changes in foreign policy and the imposition of new sanctions could impact our ability to distribute products in certain regions. This could limit our market reach and affect our revenue streams. Changes in tax policy, including changes to corporate tax rates or changes in tax incentives that we currently benefit from, could also negatively impact our results of operations and financial condition.</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new administration has taken steps that have impacted federal spending and the federal workforce. Policies relating to reductions in spending, reductions in staff, and mandated return-to-office policies, could impact the capabilities of regulatory agencies which could affect the timeliness and efficiency of regulatory reviews and approvals that are critical to our operations. Regulatory focus, particularly with respect to sustainability matters, may change, reducing or changing regulations relating to EtO, PFAS, or other sustainability initiatives, potentially requiring us to make additional expenditures to comply with new regulations, or abandon programs we have already invested in.</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response to perceived increases in healthcare costs in recent years, there have been, and continue to be, proposals by the governmental authorities, third-party payors, and elected office holders and candidates to impact public health, control healthcare costs and, more generally, to reform the healthcare systems. These changes may impact costs and reimbursement, as well as potential changes to the regulatory environment and healthcare generally. Many US healthcare laws, including the Affordable Care Act and the Federal Food, Drug, and Cosmetics Act, are complex, subject to change, and dependent on interpretation and enforcement decisions from government agencies with broad discretion. Changes in regulations, federal funding or staffing at administrative agencies like the FDA may impact, for example, the speed at which we are able to obtain regulatory reviews and approvals. In addition, changes in the focus of those administrative agencies may result in the repeal of applicable regulations or guidance or impact us in other ways we cannot anticipate. This could delay clinical trials and product launches, impact the regulatory status of current products or services, or affect our competitive position. The impact of this uncertainty on us, our customers, or the specific services and relationships we have with our customers is not always clear. Our failure to accurately anticipate these changes, or our failure to comply with changes to legal and regulatory frameworks, could create liability for us, result in adverse publicity and negatively affect our business, results of operations, and financial condition.</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As a medical device manufacturer and tissue services provider we are exposed to risk of product liability claims and our existing insurance coverage may be insufficient, or we may be unable to obtain insurance in the future, to cover any resulting liability.</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products and processed tissues allegedly have caused, and may in the future cause, injury or result in other serious complications that may result in product or other liability claims from our customers or their patients. If our products are defectively designed, manufactured, or labeled, or contain inadequate warnings, defective components, or are misused, or are used contrary to our warnings, instructions, and approved indications, we may become subject to costly litigation that can have unpredictable and potentially extreme outcomes.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claims-made insurance policies to mitigate our financial exposure to product and tissue processing liability and securities, claims, among others, that are reported to the insurance carrier while the policy is in effect. These policies do not include coverage for punitive damages. Although we have insurance for product and tissue processing liabilities, securities, property, and general liabilities, if we are unsuccessful in arranging cost-effective acceptable resolutions of claims, it is possible that our insurance program may not be adequate to cover any or all possible claims or losses, including losses arising out of natural disasters or catastrophic circumstances. Any significant claim could result in an increase in our insurance rates or jeopardize our ability to secure coverage on reasonable terms, if at all.</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securities or product liability/tissue processing claim, even a meritless or unsuccessful one, could be costly to defend, and result in diversion of our management’s attention from our business, adverse publicity, withdrawal of clinical trial participants, injury to our reputation, or loss of revenue.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comply with data privacy and security laws could have a material adverse effect on our business.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an increasing number of federal, state, and foreign laws and regulations to address topics relating to data privacy, sustainability, and artificial intelligence. These regulations, some of which can be enforced by private parties or governmental entities, have been or are being promulgated and are constantly evolving and becoming increasingly complex and rigorous. These laws and regulations may include new compliance or disclosure requirements which increases our operating costs and requires significant management investment. Many of these laws and regulations, including, but not limited to, the European Union’s General Data Protection Regulation (“GDPR”) also include significant penalties for noncompliance. Although our practices, policies, and procedures are intended to comply with relevant laws and regulations, there can be no assurance that regulatory or enforcement authorities will view our arrangements as being in compliance, or that one or more of our employees or agents will not disregard aspects of our compliance programs. Any resulting government enforcement activities may be costly, result in negative publicity, or subject us to significant penalties.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healthcare and tax legislation could have a material adverse effect on our business.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which introduces comprehensive changes to U.S. tax and healthcare laws. Some of the provisions in this legislation have delayed effective dates, and we continue to evaluate the impact of those provisions. Many of its provisions will require interpretation and implementing regulations from federal agencies, including the Department of the Treasury. The law’s provisions include, but are not limited to, changes in corporate income tax rates and other business deductions, as well as changes to healthcare-related programs. The effect of interpretive guidance on these and other provisions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Our Indebtedness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agreements governing our indebtedness contain restrictions that limit our flexibility in operating our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agreements currently governing our indebtedness contain, and any instruments governing future indebtedness of ours may contain, covenants that impose significant operating and financial restrictions on us and certain of our subsidiaries, including (subject in each case to certain exceptions) restrictions or prohibitions on our and certain of our subsidiaries’ ability to, among other things:</w:t>
      </w:r>
    </w:p>
    <w:p>
      <w:pPr>
        <w:spacing w:after="0" w:line="20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debt or create liens on certain assets;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make distributions of our share capital, including repurchasing or redeeming capital stock, or make other restricted payments, including restricted junior payments;</w:t>
      </w:r>
    </w:p>
    <w:p>
      <w:pPr>
        <w:ind w:left="660" w:right="2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our subsidiaries’ ability to pay dividends to us, repay debt owed to us or our subsidiaries, or make loans or advances to us or our other subsidiaries;</w:t>
      </w:r>
    </w:p>
    <w:p>
      <w:pPr>
        <w:jc w:val="both"/>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 including any transaction or merger or consolidation, liquidation, winding-up, or dissolution; convey, sell, lease, exchange, transfer or otherwise dispose of all or any part of our business, assets or property; or sell, assign, or otherwise dispose of any capital stock of any subsidiary;</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rate swap transactions, basis swaps, credit derivative transactions, and other similar transactions, whether relating to interest rates, commodities, investments, securities, currencies, or any other relevant measure, or transactions of any kind subject to any form of master purchase agreement governed by the International Swaps and Derivatives Association, Inc., any International Foreign Exchange Master Agreement, or any other master agreement;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supplement, waive, or otherwise modify our or our subsidiaries’ organizational documents in a manner that would be materially adverse to the interests of the lender, or change or amend the terms of documentation regarding junior financing in a manner that would be materially adverse to the interests of the lender;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changes to our and our subsidiaries’ fiscal year without notice to the administrative agent;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which restrict our ability to incur liens;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line of business substantially different from that in which we are currently engaged;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including strategic acquisitions or joint ventures.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indebtedness could adversely affect our ability to raise additional capital to fund operations and execute our strategic plan and limit our ability to react to changes in the economy or our industry.</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need to seek additional debt or equity financing to execute our strategic plan. However, we may be unable to obtain any desired additional financing on terms favorable to us, if at all. Our current and future levels of indebtedness could adversely affect our ability to raise additional capital, limit our operational flexibility, and hinder our ability to react to changes in the economy or our industry. It may also limit our ability to borrow money, require us to dedicate substantial portions of our cash flow to repayment, and restrict our ability to invest in business opportunities. Because most of our borrowings are at a variable rate of interest, we are exposed to interest rate fluctuations.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have pledged substantially all of our US assets as collateral under our existing Credit Agreement. If we default on the terms of such credit agreements and the holders of our indebtedness accelerate the repayment of such indebtedness, there can be no assurance that we will have sufficient assets to repay our indebtedness.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failure to comply with the covenants in our existing Credit Agreement could result in an event of default, which, if not cured or waived, could have a material, adverse effect on our business, financial condition, and profitability. In the event of any such default, the holders of our indebtedness:</w:t>
      </w:r>
    </w:p>
    <w:p>
      <w:pPr>
        <w:spacing w:after="0" w:line="12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required to lend any additional amounts to us;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elect to declare all indebtedness outstanding, together with accrued and unpaid interest and fees, to be due and payable and terminate all commitments to extend further credit, if applicable.</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repay those amounts, the holders of our secured indebtedness could proceed against their secured collateral to seek repayment out of proceeds from the sale or liquidation of our assets. If our indebtedness were to be accelerated, there can be no assurance that our assets would be sufficient to repay such indebtedness in full.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Ownership of our Common Stock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be negatively impacted as a result of stockholder activism.</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stockholder activists have become involved in the governance, strategic direction, and operations of companies. Such involvement with us may disrupt our business and divert the attention of our management, and any perceived uncertainties as to our future direction resulting from such involvement could result in the loss of business opportunities, be exploited by our competitors, cause concern for our current or potential customers, cause significant fluctuations in stock price, or make it more difficult to attract and retain qualified personnel and business partners.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anticipate paying any dividends on our common stock for the foreseeable future.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2015 our Board of Directors discontinued dividend payments on our common stock for the foreseeable future. If we do not pay cash dividends, our stockholders may receive a return on their investment in our common stock only through appreciation of shares of our common stock that they own. In addition, restrictions in our credit facility limit our ability to pay future dividends.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Provisions of Delaware law and anti-takeover provisions in our organizational documents may discourage or prevent a change of control, even if an acquisition would be beneficial to stockholders, which could affect our share price adversely and prevent attempts by stockholders to remove current management.</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January 1, 2022 we reincorporated in Delaware. 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the organizational documents adopted in connection with our reincorporation contain provisions that restrict persons who may call stockholder meetings, allow the issuance of blank-check preferred stock without the vote of stockholders, and allow the Board of Directors to fill vacancies and fix the number of directors. These provisions of Delaware law and our Certificate of Incorporation and Bylaws could prevent attempts by stockholders to remove current management, prohibit or delay mergers or other changes of control transactions, and discourage attempts by other companies to acquire us, even if such a transaction would be beneficial to our stockholders.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repurchase any of its equity securities during the three months ended March 31, 2026.</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Under our Credit Facilities, we are prohibited from repurchasing our common stock, except for the repurchase of stock from our employees or directors when tendered in payment of taxes or the exercise price of stock options, upon the satisfaction of certain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directors or officers (as defined in Rule 16a-1(f) under the Exchange Act) adopted, modified, or terminated the contracts, instructions, or written plans for the purchase or sale of the Company’s securities during the three months ended March 31, 2026.</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index can be found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460" w:type="dxa"/>
            <w:vAlign w:val="bottom"/>
          </w:tcPr>
          <w:p>
            <w:pPr>
              <w:spacing w:after="0"/>
              <w:rPr>
                <w:sz w:val="18"/>
                <w:szCs w:val="18"/>
                <w:color w:val="auto"/>
              </w:rPr>
            </w:pPr>
          </w:p>
        </w:tc>
      </w:tr>
      <w:tr>
        <w:trPr>
          <w:trHeight w:val="259"/>
        </w:trPr>
        <w:tc>
          <w:tcPr>
            <w:tcW w:w="20" w:type="dxa"/>
            <w:vAlign w:val="bottom"/>
          </w:tcPr>
          <w:p>
            <w:pPr>
              <w:spacing w:after="0"/>
              <w:rPr>
                <w:sz w:val="22"/>
                <w:szCs w:val="22"/>
                <w:color w:val="auto"/>
              </w:rPr>
            </w:pPr>
          </w:p>
        </w:tc>
        <w:tc>
          <w:tcPr>
            <w:tcW w:w="17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50"/>
        </w:trPr>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0000FF"/>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460" w:type="dxa"/>
            <w:vAlign w:val="bottom"/>
            <w:tcBorders>
              <w:top w:val="single" w:sz="8" w:color="auto"/>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Certification by J. Patrick Mackin pursuant to section 302 of the Sarbanes-Oxley Act of 2002.</w:t>
            </w:r>
          </w:p>
        </w:tc>
      </w:tr>
      <w:tr>
        <w:trPr>
          <w:trHeight w:val="203"/>
        </w:trPr>
        <w:tc>
          <w:tcPr>
            <w:tcW w:w="1700" w:type="dxa"/>
            <w:vAlign w:val="bottom"/>
            <w:gridSpan w:val="5"/>
          </w:tcPr>
          <w:p>
            <w:pPr>
              <w:ind w:left="20"/>
              <w:spacing w:after="0" w:line="202"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80" w:type="dxa"/>
            <w:vAlign w:val="bottom"/>
          </w:tcPr>
          <w:p>
            <w:pPr>
              <w:spacing w:after="0"/>
              <w:rPr>
                <w:sz w:val="17"/>
                <w:szCs w:val="17"/>
                <w:color w:val="auto"/>
              </w:rPr>
            </w:pPr>
          </w:p>
        </w:tc>
        <w:tc>
          <w:tcPr>
            <w:tcW w:w="94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Certification by Lance A. Berry pursuant to section 302 of the Sarbanes-Oxley Act of 2002.</w:t>
            </w:r>
          </w:p>
        </w:tc>
      </w:tr>
      <w:tr>
        <w:trPr>
          <w:trHeight w:val="48"/>
        </w:trPr>
        <w:tc>
          <w:tcPr>
            <w:tcW w:w="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6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42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32**</w:t>
            </w: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196"/>
        </w:trPr>
        <w:tc>
          <w:tcPr>
            <w:tcW w:w="20" w:type="dxa"/>
            <w:vAlign w:val="bottom"/>
            <w:tcBorders>
              <w:top w:val="single" w:sz="8" w:color="CCEEFF"/>
            </w:tcBorders>
          </w:tcPr>
          <w:p>
            <w:pPr>
              <w:spacing w:after="0"/>
              <w:rPr>
                <w:sz w:val="17"/>
                <w:szCs w:val="17"/>
                <w:color w:val="auto"/>
              </w:rPr>
            </w:pPr>
          </w:p>
        </w:tc>
        <w:tc>
          <w:tcPr>
            <w:tcW w:w="360" w:type="dxa"/>
            <w:vAlign w:val="bottom"/>
            <w:tcBorders>
              <w:top w:val="single" w:sz="8" w:color="0000FF"/>
            </w:tcBorders>
            <w:gridSpan w:val="2"/>
          </w:tcPr>
          <w:p>
            <w:pPr>
              <w:spacing w:after="0" w:line="189"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6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46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Securities Purchase Option Agreement, dated as of September 11, 2019, by and among CryoLife, Inc., Endospan Ltd., the</w:t>
            </w:r>
          </w:p>
        </w:tc>
      </w:tr>
      <w:tr>
        <w:trPr>
          <w:trHeight w:val="144"/>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60" w:type="dxa"/>
            <w:vAlign w:val="bottom"/>
          </w:tcPr>
          <w:p>
            <w:pPr>
              <w:ind w:left="20"/>
              <w:spacing w:after="0" w:line="144" w:lineRule="exact"/>
              <w:rPr>
                <w:sz w:val="20"/>
                <w:szCs w:val="20"/>
                <w:color w:val="auto"/>
              </w:rPr>
            </w:pPr>
            <w:r>
              <w:rPr>
                <w:rFonts w:ascii="Times New Roman" w:cs="Times New Roman" w:eastAsia="Times New Roman" w:hAnsi="Times New Roman"/>
                <w:sz w:val="16"/>
                <w:szCs w:val="16"/>
                <w:color w:val="auto"/>
              </w:rPr>
              <w:t>securityholders of Endospan listed on Schedule 1 thereto (together with any additional securityholder that becomes a party by</w:t>
            </w: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joinder) and Shareholder Representative Services LLC, as the Securityholder representative. (Incorporated herein by reference to</w:t>
            </w: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Registrant’s Current Report on Form 8-K filed May 7, 2026.)</w:t>
            </w:r>
          </w:p>
        </w:tc>
      </w:tr>
      <w:tr>
        <w:trPr>
          <w:trHeight w:val="196"/>
        </w:trPr>
        <w:tc>
          <w:tcPr>
            <w:tcW w:w="38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Amendment No. 1 to Securities Purchase Option Agreement, dated July 1, 2024, by and among Artivion, Inc., Endospan Ltd. and</w:t>
            </w:r>
          </w:p>
        </w:tc>
      </w:tr>
      <w:tr>
        <w:trPr>
          <w:trHeight w:val="144"/>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460" w:type="dxa"/>
            <w:vAlign w:val="bottom"/>
            <w:tcBorders>
              <w:top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Shareholder Representative Services LLC, as the securityholder representative. (Incorporated herein by reference to Exhibit 10.2</w:t>
            </w:r>
          </w:p>
        </w:tc>
      </w:tr>
      <w:tr>
        <w:trPr>
          <w:trHeight w:val="234"/>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the Registrant’s Current Report on Form 8-K filed May 7, 2026.)</w:t>
            </w:r>
          </w:p>
        </w:tc>
      </w:tr>
      <w:tr>
        <w:trPr>
          <w:trHeight w:val="196"/>
        </w:trPr>
        <w:tc>
          <w:tcPr>
            <w:tcW w:w="38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Amendment No. 2 to Securities Purchase Option Agreement, dated January 9, 2026, by and among Artivion, Inc., Endospan Ltd.</w:t>
            </w:r>
          </w:p>
        </w:tc>
      </w:tr>
      <w:tr>
        <w:trPr>
          <w:trHeight w:val="144"/>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60" w:type="dxa"/>
            <w:vAlign w:val="bottom"/>
          </w:tcPr>
          <w:p>
            <w:pPr>
              <w:ind w:left="20"/>
              <w:spacing w:after="0" w:line="144" w:lineRule="exact"/>
              <w:rPr>
                <w:sz w:val="20"/>
                <w:szCs w:val="20"/>
                <w:color w:val="auto"/>
              </w:rPr>
            </w:pPr>
            <w:r>
              <w:rPr>
                <w:rFonts w:ascii="Times New Roman" w:cs="Times New Roman" w:eastAsia="Times New Roman" w:hAnsi="Times New Roman"/>
                <w:sz w:val="16"/>
                <w:szCs w:val="16"/>
                <w:color w:val="auto"/>
              </w:rPr>
              <w:t>and Shareholder Representative Services LLC, as the securityholder representative. (Incorporated herein by reference to Exhibit</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 to the Registrant’s Current Report on Form 8-K filed May 7, 2026.)</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43"/>
        </w:trPr>
        <w:tc>
          <w:tcPr>
            <w:tcW w:w="20" w:type="dxa"/>
            <w:vAlign w:val="bottom"/>
          </w:tcPr>
          <w:p>
            <w:pPr>
              <w:spacing w:after="0"/>
              <w:rPr>
                <w:sz w:val="21"/>
                <w:szCs w:val="21"/>
                <w:color w:val="auto"/>
              </w:rPr>
            </w:pPr>
          </w:p>
        </w:tc>
        <w:tc>
          <w:tcPr>
            <w:tcW w:w="1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43"/>
        </w:trPr>
        <w:tc>
          <w:tcPr>
            <w:tcW w:w="20" w:type="dxa"/>
            <w:vAlign w:val="bottom"/>
          </w:tcPr>
          <w:p>
            <w:pPr>
              <w:spacing w:after="0"/>
              <w:rPr>
                <w:sz w:val="21"/>
                <w:szCs w:val="21"/>
                <w:color w:val="auto"/>
              </w:rPr>
            </w:pPr>
          </w:p>
        </w:tc>
        <w:tc>
          <w:tcPr>
            <w:tcW w:w="1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43"/>
        </w:trPr>
        <w:tc>
          <w:tcPr>
            <w:tcW w:w="20" w:type="dxa"/>
            <w:vAlign w:val="bottom"/>
          </w:tcPr>
          <w:p>
            <w:pPr>
              <w:spacing w:after="0"/>
              <w:rPr>
                <w:sz w:val="21"/>
                <w:szCs w:val="21"/>
                <w:color w:val="auto"/>
              </w:rPr>
            </w:pPr>
          </w:p>
        </w:tc>
        <w:tc>
          <w:tcPr>
            <w:tcW w:w="1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60" w:type="dxa"/>
            <w:vAlign w:val="bottom"/>
          </w:tcPr>
          <w:p>
            <w:pPr>
              <w:spacing w:after="0"/>
              <w:rPr>
                <w:sz w:val="2"/>
                <w:szCs w:val="2"/>
                <w:color w:val="auto"/>
              </w:rPr>
            </w:pPr>
          </w:p>
        </w:tc>
      </w:tr>
      <w:tr>
        <w:trPr>
          <w:trHeight w:val="243"/>
        </w:trPr>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formatted as Inline XBRL and contained in Exhibit 101</w:t>
            </w:r>
          </w:p>
        </w:tc>
      </w:tr>
      <w:tr>
        <w:trPr>
          <w:trHeight w:val="27"/>
        </w:trPr>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6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50" w:lineRule="exact"/>
        <w:rPr>
          <w:sz w:val="20"/>
          <w:szCs w:val="20"/>
          <w:color w:val="auto"/>
        </w:rPr>
      </w:pPr>
    </w:p>
    <w:p>
      <w:pPr>
        <w:ind w:left="480" w:hanging="454"/>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80" w:hanging="454"/>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3" w:lineRule="exact"/>
        <w:rPr>
          <w:sz w:val="20"/>
          <w:szCs w:val="20"/>
          <w:color w:val="auto"/>
        </w:rPr>
      </w:pPr>
    </w:p>
    <w:p>
      <w:pPr>
        <w:ind w:left="480" w:hanging="454"/>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3" w:lineRule="exact"/>
        <w:rPr>
          <w:sz w:val="20"/>
          <w:szCs w:val="20"/>
          <w:color w:val="auto"/>
        </w:rPr>
      </w:pPr>
    </w:p>
    <w:p>
      <w:pPr>
        <w:ind w:left="480" w:right="520" w:hanging="454"/>
        <w:spacing w:after="0" w:line="234" w:lineRule="auto"/>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has redacted exhibit provisions or terms that are both not material and would likely cause competitive harm to the Registrant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ARTIVION,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w:t>
      </w:r>
    </w:p>
    <w:p>
      <w:pPr>
        <w:sectPr>
          <w:pgSz w:w="11900" w:h="16838" w:orient="portrait"/>
          <w:cols w:equalWidth="0" w:num="1">
            <w:col w:w="11200"/>
          </w:cols>
          <w:pgMar w:left="320" w:top="108" w:right="37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/s/ J. PATRICK MACKIN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26035</wp:posOffset>
            </wp:positionV>
            <wp:extent cx="25888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J. PATRICK MACKIN</w:t>
      </w:r>
    </w:p>
    <w:p>
      <w:pPr>
        <w:spacing w:after="0" w:line="36"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Chairman, President, and</w:t>
      </w:r>
    </w:p>
    <w:p>
      <w:pPr>
        <w:jc w:val="right"/>
        <w:ind w:right="340"/>
        <w:spacing w:after="0" w:line="237" w:lineRule="auto"/>
        <w:rPr>
          <w:sz w:val="20"/>
          <w:szCs w:val="20"/>
          <w:color w:val="auto"/>
        </w:rPr>
      </w:pPr>
      <w:r>
        <w:rPr>
          <w:rFonts w:ascii="Times New Roman" w:cs="Times New Roman" w:eastAsia="Times New Roman" w:hAnsi="Times New Roman"/>
          <w:sz w:val="18"/>
          <w:szCs w:val="18"/>
          <w:color w:val="auto"/>
        </w:rPr>
        <w:t>Chief Executive Officer</w:t>
      </w:r>
    </w:p>
    <w:p>
      <w:pPr>
        <w:ind w:left="2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8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26035</wp:posOffset>
            </wp:positionV>
            <wp:extent cx="25888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8"/>
          <w:szCs w:val="18"/>
          <w:color w:val="auto"/>
        </w:rPr>
        <w:t>/s/ LANCE A.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26035</wp:posOffset>
            </wp:positionV>
            <wp:extent cx="25971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0"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8"/>
          <w:szCs w:val="18"/>
          <w:color w:val="auto"/>
        </w:rPr>
        <w:t>LANCE A. BERRY</w:t>
      </w:r>
    </w:p>
    <w:p>
      <w:pPr>
        <w:spacing w:after="0" w:line="36" w:lineRule="exact"/>
        <w:rPr>
          <w:sz w:val="20"/>
          <w:szCs w:val="20"/>
          <w:color w:val="auto"/>
        </w:rPr>
      </w:pPr>
    </w:p>
    <w:p>
      <w:pPr>
        <w:jc w:val="right"/>
        <w:ind w:right="1040"/>
        <w:spacing w:after="0"/>
        <w:rPr>
          <w:sz w:val="20"/>
          <w:szCs w:val="20"/>
          <w:color w:val="auto"/>
        </w:rPr>
      </w:pPr>
      <w:r>
        <w:rPr>
          <w:rFonts w:ascii="Times New Roman" w:cs="Times New Roman" w:eastAsia="Times New Roman" w:hAnsi="Times New Roman"/>
          <w:sz w:val="18"/>
          <w:szCs w:val="18"/>
          <w:color w:val="auto"/>
        </w:rPr>
        <w:t>Executive Vice President,</w:t>
      </w:r>
    </w:p>
    <w:p>
      <w:pPr>
        <w:jc w:val="right"/>
        <w:ind w:right="1040"/>
        <w:spacing w:after="0" w:line="237" w:lineRule="auto"/>
        <w:rPr>
          <w:sz w:val="20"/>
          <w:szCs w:val="20"/>
          <w:color w:val="auto"/>
        </w:rPr>
      </w:pPr>
      <w:r>
        <w:rPr>
          <w:rFonts w:ascii="Times New Roman" w:cs="Times New Roman" w:eastAsia="Times New Roman" w:hAnsi="Times New Roman"/>
          <w:sz w:val="18"/>
          <w:szCs w:val="18"/>
          <w:color w:val="auto"/>
        </w:rPr>
        <w:t>Chief Operating Officer,</w:t>
      </w:r>
    </w:p>
    <w:p>
      <w:pPr>
        <w:jc w:val="right"/>
        <w:ind w:right="1000"/>
        <w:spacing w:after="0" w:line="219" w:lineRule="auto"/>
        <w:rPr>
          <w:sz w:val="20"/>
          <w:szCs w:val="20"/>
          <w:color w:val="auto"/>
        </w:rPr>
      </w:pPr>
      <w:r>
        <w:rPr>
          <w:rFonts w:ascii="Times New Roman" w:cs="Times New Roman" w:eastAsia="Times New Roman" w:hAnsi="Times New Roman"/>
          <w:sz w:val="18"/>
          <w:szCs w:val="18"/>
          <w:color w:val="auto"/>
        </w:rPr>
        <w:t>Chief Financial Officer and Treasurer</w:t>
      </w:r>
    </w:p>
    <w:p>
      <w:pPr>
        <w:jc w:val="right"/>
        <w:ind w:right="10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26035</wp:posOffset>
            </wp:positionV>
            <wp:extent cx="25971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ectPr>
          <w:pgSz w:w="11900" w:h="16838" w:orient="portrait"/>
          <w:cols w:equalWidth="0" w:num="2">
            <w:col w:w="5420" w:space="720"/>
            <w:col w:w="5060"/>
          </w:cols>
          <w:pgMar w:left="320" w:top="108" w:right="37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00"/>
          </w:cols>
          <w:pgMar w:left="320" w:top="108" w:right="379" w:bottom="1440" w:gutter="0" w:footer="0" w:header="0"/>
          <w:type w:val="continuous"/>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Patrick Mackin,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Artivion,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22" w:lineRule="exact"/>
        <w:tabs>
          <w:tab w:leader="none" w:pos="328"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98" w:lineRule="exact"/>
        <w:rPr>
          <w:rFonts w:ascii="Arial" w:cs="Arial" w:eastAsia="Arial" w:hAnsi="Arial"/>
          <w:sz w:val="18"/>
          <w:szCs w:val="18"/>
          <w:color w:val="auto"/>
        </w:rPr>
      </w:pPr>
    </w:p>
    <w:p>
      <w:pPr>
        <w:ind w:left="660" w:right="380" w:hanging="328"/>
        <w:spacing w:after="0" w:line="266" w:lineRule="auto"/>
        <w:tabs>
          <w:tab w:leader="none" w:pos="65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1"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4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 PATRICK MACKIN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11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Lance A. Berry,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Artivion,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22" w:lineRule="exact"/>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99"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1"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4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LANCE A.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Chief Operating Officer, Chief Financial Officer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and Treasurer</w:t>
      </w:r>
    </w:p>
    <w:p>
      <w:pPr>
        <w:sectPr>
          <w:pgSz w:w="11900" w:h="16838" w:orient="portrait"/>
          <w:cols w:equalWidth="0" w:num="1">
            <w:col w:w="11240"/>
          </w:cols>
          <w:pgMar w:left="320" w:top="11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Artivion, Inc. (the “Company”) on Form 10-Q for the quarter ended March 31, 2026, as filed with the Securities and Exchange Commission on the date hereof (the “Report”), each of J. Patrick Mackin, the Chairman, President, and Chief Executive Officer of the Company, and Lance A. Berry, the Executive Vice President, Chief Operating Officer, Chief Financial Officer and Treasurer of the Company, hereby certifies, pursuant to and for purposes of 18 U.S.C. Section 1350, as adopted pursuant to Section 906 of the Sarbanes-Oxley Act of 2002, that, in his capacity as an officer of the Company and to his knowledge:</w:t>
      </w:r>
    </w:p>
    <w:p>
      <w:pPr>
        <w:spacing w:after="0" w:line="183"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J. PATRICK MACKIN</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LANCE A. BERRY</w:t>
            </w:r>
          </w:p>
        </w:tc>
      </w:tr>
      <w:tr>
        <w:trPr>
          <w:trHeight w:val="228"/>
        </w:trPr>
        <w:tc>
          <w:tcPr>
            <w:tcW w:w="5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 PATRICK MACKIN</w:t>
            </w:r>
          </w:p>
        </w:tc>
        <w:tc>
          <w:tcPr>
            <w:tcW w:w="260" w:type="dxa"/>
            <w:vAlign w:val="bottom"/>
          </w:tcPr>
          <w:p>
            <w:pPr>
              <w:spacing w:after="0"/>
              <w:rPr>
                <w:sz w:val="19"/>
                <w:szCs w:val="19"/>
                <w:color w:val="auto"/>
              </w:rPr>
            </w:pPr>
          </w:p>
        </w:tc>
        <w:tc>
          <w:tcPr>
            <w:tcW w:w="5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LANCE A. BERRY</w:t>
            </w:r>
          </w:p>
        </w:tc>
      </w:tr>
      <w:tr>
        <w:trPr>
          <w:trHeight w:val="22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Operating Officer, Chief Financial Officer</w:t>
            </w:r>
          </w:p>
        </w:tc>
      </w:tr>
      <w:tr>
        <w:trPr>
          <w:trHeight w:val="234"/>
        </w:trPr>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Treasurer</w:t>
            </w:r>
          </w:p>
        </w:tc>
      </w:tr>
      <w:tr>
        <w:trPr>
          <w:trHeight w:val="257"/>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8, 2026</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8, 2026</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lowerLetter"/>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258"/>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80" Type="http://schemas.openxmlformats.org/officeDocument/2006/relationships/hyperlink" Target="https://www.sec.gov/Archives/edgar/data/784199/000162828026032097/aort-2026x8k033126ex101.htm" TargetMode="External"/><Relationship Id="rId81" Type="http://schemas.openxmlformats.org/officeDocument/2006/relationships/hyperlink" Target="https://www.sec.gov/Archives/edgar/data/784199/000162828026032097/aort-2026x8k033126ex102.htm" TargetMode="External"/><Relationship Id="rId82" Type="http://schemas.openxmlformats.org/officeDocument/2006/relationships/hyperlink" Target="https://www.sec.gov/Archives/edgar/data/784199/000162828026032097/aort-2026x8k033126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2026-05-08T10:00:03Z</dcterms:created>
  <dcterms:modified xsi:type="dcterms:W3CDTF">2026-05-08T10:00:03Z</dcterms:modified>
</cp:coreProperties>
</file>