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22"/>
          <w:szCs w:val="22"/>
          <w:b w:val="1"/>
          <w:bCs w:val="1"/>
          <w:color w:val="auto"/>
        </w:rPr>
        <w:t>UNITED STATES</w:t>
      </w:r>
    </w:p>
    <w:p>
      <w:pPr>
        <w:spacing w:after="0" w:line="24" w:lineRule="exact"/>
        <w:rPr>
          <w:sz w:val="24"/>
          <w:szCs w:val="24"/>
          <w:color w:val="auto"/>
        </w:rPr>
      </w:pPr>
    </w:p>
    <w:p>
      <w:pPr>
        <w:jc w:val="center"/>
        <w:ind w:right="-5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40"/>
        <w:spacing w:after="0"/>
        <w:rPr>
          <w:sz w:val="20"/>
          <w:szCs w:val="20"/>
          <w:color w:val="auto"/>
        </w:rPr>
      </w:pPr>
      <w:r>
        <w:rPr>
          <w:rFonts w:ascii="Arial" w:cs="Arial" w:eastAsia="Arial" w:hAnsi="Arial"/>
          <w:sz w:val="15"/>
          <w:szCs w:val="15"/>
          <w:b w:val="1"/>
          <w:bCs w:val="1"/>
          <w:color w:val="auto"/>
        </w:rPr>
        <w:t>WASHINGTON, D.C. 20549</w:t>
      </w:r>
    </w:p>
    <w:p>
      <w:pPr>
        <w:spacing w:after="0" w:line="109" w:lineRule="exact"/>
        <w:rPr>
          <w:sz w:val="24"/>
          <w:szCs w:val="24"/>
          <w:color w:val="auto"/>
        </w:rPr>
      </w:pPr>
    </w:p>
    <w:p>
      <w:pPr>
        <w:jc w:val="center"/>
        <w:ind w:right="-540"/>
        <w:spacing w:after="0"/>
        <w:rPr>
          <w:sz w:val="20"/>
          <w:szCs w:val="20"/>
          <w:color w:val="auto"/>
        </w:rPr>
      </w:pPr>
      <w:r>
        <w:rPr>
          <w:rFonts w:ascii="Arial" w:cs="Arial" w:eastAsia="Arial" w:hAnsi="Arial"/>
          <w:sz w:val="22"/>
          <w:szCs w:val="22"/>
          <w:b w:val="1"/>
          <w:bCs w:val="1"/>
          <w:color w:val="auto"/>
        </w:rPr>
        <w:t>SCHEDULE 14A</w:t>
      </w:r>
    </w:p>
    <w:p>
      <w:pPr>
        <w:spacing w:after="0" w:line="122" w:lineRule="exact"/>
        <w:rPr>
          <w:sz w:val="24"/>
          <w:szCs w:val="24"/>
          <w:color w:val="auto"/>
        </w:rPr>
      </w:pPr>
    </w:p>
    <w:p>
      <w:pPr>
        <w:jc w:val="center"/>
        <w:ind w:right="-540"/>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17" w:lineRule="exact"/>
        <w:rPr>
          <w:sz w:val="24"/>
          <w:szCs w:val="24"/>
          <w:color w:val="auto"/>
        </w:rPr>
      </w:pPr>
    </w:p>
    <w:p>
      <w:pPr>
        <w:jc w:val="center"/>
        <w:ind w:right="-540"/>
        <w:spacing w:after="0"/>
        <w:rPr>
          <w:sz w:val="20"/>
          <w:szCs w:val="20"/>
          <w:color w:val="auto"/>
        </w:rPr>
      </w:pPr>
      <w:r>
        <w:rPr>
          <w:rFonts w:ascii="Arial" w:cs="Arial" w:eastAsia="Arial" w:hAnsi="Arial"/>
          <w:sz w:val="15"/>
          <w:szCs w:val="15"/>
          <w:b w:val="1"/>
          <w:bCs w:val="1"/>
          <w:color w:val="auto"/>
        </w:rPr>
        <w:t>Securities Exchange Act of 1934</w:t>
      </w:r>
    </w:p>
    <w:p>
      <w:pPr>
        <w:spacing w:after="0" w:line="1" w:lineRule="exact"/>
        <w:rPr>
          <w:sz w:val="24"/>
          <w:szCs w:val="24"/>
          <w:color w:val="auto"/>
        </w:rPr>
      </w:pPr>
    </w:p>
    <w:p>
      <w:pPr>
        <w:jc w:val="center"/>
        <w:ind w:right="-540"/>
        <w:spacing w:after="0"/>
        <w:rPr>
          <w:sz w:val="20"/>
          <w:szCs w:val="20"/>
          <w:color w:val="auto"/>
        </w:rPr>
      </w:pPr>
      <w:r>
        <w:rPr>
          <w:rFonts w:ascii="Arial" w:cs="Arial" w:eastAsia="Arial" w:hAnsi="Arial"/>
          <w:sz w:val="15"/>
          <w:szCs w:val="15"/>
          <w:b w:val="1"/>
          <w:bCs w:val="1"/>
          <w:color w:val="auto"/>
        </w:rPr>
        <w:t>(Amendment No. )</w:t>
      </w:r>
    </w:p>
    <w:p>
      <w:pPr>
        <w:spacing w:after="0" w:line="11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16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9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64" w:lineRule="exact"/>
        <w:rPr>
          <w:sz w:val="24"/>
          <w:szCs w:val="24"/>
          <w:color w:val="auto"/>
        </w:rPr>
      </w:pPr>
    </w:p>
    <w:p>
      <w:pPr>
        <w:ind w:left="660" w:hanging="659"/>
        <w:spacing w:after="0"/>
        <w:tabs>
          <w:tab w:leader="none" w:pos="6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161" w:lineRule="exact"/>
        <w:rPr>
          <w:rFonts w:ascii="MS PGothic" w:cs="MS PGothic" w:eastAsia="MS PGothic" w:hAnsi="MS PGothic"/>
          <w:sz w:val="15"/>
          <w:szCs w:val="15"/>
          <w:color w:val="auto"/>
        </w:rPr>
      </w:pPr>
    </w:p>
    <w:p>
      <w:pPr>
        <w:ind w:left="660" w:hanging="659"/>
        <w:spacing w:after="0"/>
        <w:tabs>
          <w:tab w:leader="none" w:pos="6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66" w:lineRule="exact"/>
        <w:rPr>
          <w:sz w:val="24"/>
          <w:szCs w:val="24"/>
          <w:color w:val="auto"/>
        </w:rPr>
      </w:pPr>
    </w:p>
    <w:p>
      <w:pPr>
        <w:ind w:left="660" w:hanging="659"/>
        <w:spacing w:after="0"/>
        <w:tabs>
          <w:tab w:leader="none" w:pos="6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175" w:lineRule="exact"/>
        <w:rPr>
          <w:sz w:val="24"/>
          <w:szCs w:val="24"/>
          <w:color w:val="auto"/>
        </w:rPr>
      </w:pPr>
    </w:p>
    <w:p>
      <w:pPr>
        <w:ind w:left="660" w:hanging="659"/>
        <w:spacing w:after="0"/>
        <w:tabs>
          <w:tab w:leader="none" w:pos="6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63" w:lineRule="exact"/>
        <w:rPr>
          <w:rFonts w:ascii="MS PGothic" w:cs="MS PGothic" w:eastAsia="MS PGothic" w:hAnsi="MS PGothic"/>
          <w:sz w:val="15"/>
          <w:szCs w:val="15"/>
          <w:color w:val="auto"/>
        </w:rPr>
      </w:pPr>
    </w:p>
    <w:p>
      <w:pPr>
        <w:ind w:left="660" w:hanging="659"/>
        <w:spacing w:after="0"/>
        <w:tabs>
          <w:tab w:leader="none" w:pos="6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1579880</wp:posOffset>
            </wp:positionH>
            <wp:positionV relativeFrom="paragraph">
              <wp:posOffset>253365</wp:posOffset>
            </wp:positionV>
            <wp:extent cx="3211195" cy="4711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1195"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880"/>
        <w:spacing w:after="0"/>
        <w:rPr>
          <w:sz w:val="20"/>
          <w:szCs w:val="20"/>
          <w:color w:val="auto"/>
        </w:rPr>
      </w:pPr>
      <w:r>
        <w:rPr>
          <w:rFonts w:ascii="Arial" w:cs="Arial" w:eastAsia="Arial" w:hAnsi="Arial"/>
          <w:sz w:val="25"/>
          <w:szCs w:val="25"/>
          <w:b w:val="1"/>
          <w:bCs w:val="1"/>
          <w:color w:val="auto"/>
        </w:rPr>
        <w:t>ARTIVION,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63633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230" w:lineRule="exact"/>
        <w:rPr>
          <w:sz w:val="24"/>
          <w:szCs w:val="24"/>
          <w:color w:val="auto"/>
        </w:rPr>
      </w:pPr>
    </w:p>
    <w:p>
      <w:pPr>
        <w:jc w:val="center"/>
        <w:ind w:right="-880"/>
        <w:spacing w:after="0"/>
        <w:rPr>
          <w:sz w:val="20"/>
          <w:szCs w:val="20"/>
          <w:color w:val="auto"/>
        </w:rPr>
      </w:pPr>
      <w:r>
        <w:rPr>
          <w:rFonts w:ascii="Arial" w:cs="Arial" w:eastAsia="Arial" w:hAnsi="Arial"/>
          <w:sz w:val="25"/>
          <w:szCs w:val="2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63633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1" w:lineRule="exact"/>
        <w:rPr>
          <w:sz w:val="24"/>
          <w:szCs w:val="24"/>
          <w:color w:val="auto"/>
        </w:rPr>
      </w:pPr>
    </w:p>
    <w:p>
      <w:pPr>
        <w:ind w:left="2560"/>
        <w:spacing w:after="0"/>
        <w:rPr>
          <w:sz w:val="20"/>
          <w:szCs w:val="20"/>
          <w:color w:val="auto"/>
        </w:rPr>
      </w:pPr>
      <w:r>
        <w:rPr>
          <w:rFonts w:ascii="Arial" w:cs="Arial" w:eastAsia="Arial" w:hAnsi="Arial"/>
          <w:sz w:val="15"/>
          <w:szCs w:val="15"/>
          <w:b w:val="1"/>
          <w:bCs w:val="1"/>
          <w:color w:val="auto"/>
        </w:rPr>
        <w:t>(Name of Person(s) Filing Proxy Statement, if other than the Registrant)</w:t>
      </w: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all boxes that apply):</w:t>
      </w:r>
    </w:p>
    <w:p>
      <w:pPr>
        <w:spacing w:after="0" w:line="164" w:lineRule="exact"/>
        <w:rPr>
          <w:sz w:val="24"/>
          <w:szCs w:val="24"/>
          <w:color w:val="auto"/>
        </w:rPr>
      </w:pPr>
    </w:p>
    <w:p>
      <w:pPr>
        <w:ind w:left="660" w:hanging="659"/>
        <w:spacing w:after="0"/>
        <w:tabs>
          <w:tab w:leader="none" w:pos="66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64" w:lineRule="exact"/>
        <w:rPr>
          <w:sz w:val="24"/>
          <w:szCs w:val="24"/>
          <w:color w:val="auto"/>
        </w:rPr>
      </w:pPr>
    </w:p>
    <w:p>
      <w:pPr>
        <w:ind w:left="660" w:hanging="659"/>
        <w:spacing w:after="0"/>
        <w:tabs>
          <w:tab w:leader="none" w:pos="66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63" w:lineRule="exact"/>
        <w:rPr>
          <w:rFonts w:ascii="MS PGothic" w:cs="MS PGothic" w:eastAsia="MS PGothic" w:hAnsi="MS PGothic"/>
          <w:sz w:val="15"/>
          <w:szCs w:val="15"/>
          <w:color w:val="auto"/>
        </w:rPr>
      </w:pPr>
    </w:p>
    <w:p>
      <w:pPr>
        <w:ind w:left="660" w:hanging="659"/>
        <w:spacing w:after="0"/>
        <w:tabs>
          <w:tab w:leader="none" w:pos="66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-422910</wp:posOffset>
            </wp:positionH>
            <wp:positionV relativeFrom="paragraph">
              <wp:posOffset>3604260</wp:posOffset>
            </wp:positionV>
            <wp:extent cx="720534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9479"/>
          </w:cols>
          <w:pgMar w:left="980" w:top="94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1914525</wp:posOffset>
            </wp:positionH>
            <wp:positionV relativeFrom="page">
              <wp:posOffset>4294505</wp:posOffset>
            </wp:positionV>
            <wp:extent cx="37782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8250" cy="7620"/>
                    </a:xfrm>
                    <a:prstGeom prst="rect">
                      <a:avLst/>
                    </a:prstGeom>
                    <a:noFill/>
                  </pic:spPr>
                </pic:pic>
              </a:graphicData>
            </a:graphic>
          </wp:anchor>
        </w:drawing>
        <w:drawing>
          <wp:anchor simplePos="0" relativeHeight="251657728" behindDoc="1" locked="0" layoutInCell="0" allowOverlap="1">
            <wp:simplePos x="0" y="0"/>
            <wp:positionH relativeFrom="page">
              <wp:posOffset>2202180</wp:posOffset>
            </wp:positionH>
            <wp:positionV relativeFrom="page">
              <wp:posOffset>3307715</wp:posOffset>
            </wp:positionV>
            <wp:extent cx="3181985" cy="464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18198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Notice of Annual Meeting</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and</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339090</wp:posOffset>
            </wp:positionV>
            <wp:extent cx="37782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782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auto"/>
        </w:rPr>
        <w:t>2026 Annual Meeting of Stockholders</w:t>
      </w:r>
    </w:p>
    <w:p>
      <w:pPr>
        <w:spacing w:after="0" w:line="38"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3317875</wp:posOffset>
            </wp:positionV>
            <wp:extent cx="720534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2202180</wp:posOffset>
            </wp:positionH>
            <wp:positionV relativeFrom="page">
              <wp:posOffset>567690</wp:posOffset>
            </wp:positionV>
            <wp:extent cx="3211195" cy="464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211195" cy="4641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b w:val="1"/>
          <w:bCs w:val="1"/>
          <w:color w:val="2B4B74"/>
        </w:rPr>
        <w:t>1655 ROBERTS BOULEVARD, NW</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B4B74"/>
        </w:rPr>
        <w:t>KENNESAW, GEORGIA 30144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111760</wp:posOffset>
            </wp:positionV>
            <wp:extent cx="17011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01165" cy="7620"/>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ANNUAL MEETING</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April 1, 2026</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 Our Stockholders:</w:t>
      </w:r>
    </w:p>
    <w:p>
      <w:pPr>
        <w:spacing w:after="0" w:line="129"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On behalf of the Board of Directors, we invite you to attend the Annual Meeting of Stockholders of Artivion, Inc. on May 12, 2026, at 9:00 a.m., ET. Given our successful use of the virtual-only format at our prior annual meetings, we have again adopted a virtual-only format for our Annual Meeting this year. The Annual Meeting will be accessible at the following website address: https://edge.media-server.com/mmc/p/chse37tw . After this year’s Annual Meeting, we intend to again evaluate the best method for holding our annual stockholder meetings going forward.</w:t>
      </w:r>
    </w:p>
    <w:p>
      <w:pPr>
        <w:spacing w:after="0" w:line="111"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Please review this Notice of Annual Meeting and Proxy Statement, which describes the formal business to be transacted and procedures for voting on matters to be considered during the Annual Meeting.</w:t>
      </w:r>
    </w:p>
    <w:p>
      <w:pPr>
        <w:spacing w:after="0" w:line="101"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YOUR VOTE IS IMPORTANT. Regardless of whether you plan to attend the virtual Annual Meeting, we request that you please follow the instructions provided on the Notice or Proxy Card that you received by mail, and further described herein, and take a few minutes to review the Proxy Statement and vote your shares via internet, telephone, or mail. You may, of course, choose to attend the Annual Meeting virtually and vote your shares online during the meeting. If you wish to participate in the meeting, you will need your control number to join.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However you choose to participate, we encourage you to review this Proxy Statement and vote your shares.</w:t>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113665</wp:posOffset>
            </wp:positionV>
            <wp:extent cx="1252220" cy="419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222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J. PATRICK MACKIN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Chairman, President, and Chief Executive Officer</w:t>
      </w:r>
    </w:p>
    <w:p>
      <w:pPr>
        <w:sectPr>
          <w:pgSz w:w="11900" w:h="16838" w:orient="portrait"/>
          <w:cols w:equalWidth="0" w:num="1">
            <w:col w:w="10020"/>
          </w:cols>
          <w:pgMar w:left="980" w:top="14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ARTIVION,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443230</wp:posOffset>
            </wp:positionV>
            <wp:extent cx="720534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1440" w:right="899" w:bottom="1440" w:gutter="0" w:footer="0" w:header="0"/>
          <w:type w:val="continuous"/>
        </w:sectPr>
      </w:pPr>
    </w:p>
    <w:bookmarkStart w:id="3" w:name="page4"/>
    <w:bookmarkEnd w:id="3"/>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2202180</wp:posOffset>
            </wp:positionH>
            <wp:positionV relativeFrom="page">
              <wp:posOffset>567690</wp:posOffset>
            </wp:positionV>
            <wp:extent cx="3211195" cy="464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211195" cy="4641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b w:val="1"/>
          <w:bCs w:val="1"/>
          <w:color w:val="2B4B74"/>
        </w:rPr>
        <w:t>1655 ROBERTS BOULEVARD, NW</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B4B74"/>
        </w:rPr>
        <w:t>KENNESAW, GEORGIA 30144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111760</wp:posOffset>
            </wp:positionV>
            <wp:extent cx="17011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1165" cy="7620"/>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B4B74"/>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3633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 THE STOCKHOLDERS OF ARTIVION, INC.:</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NOTICE IS HEREBY GIVEN that the Annual Meeting of Stockholders of ARTIVION, INC. (the “Annual Meeting”) will be held on May 12, 2026, at 9:00 a.m., ET. As in prior years, the Annual Meeting will be held as a virtual-only meeting. The Annual Meeting will be accessible at the following website address: https://edge.media-server.com/mmc/p/chse37tw for the following purposes:</w:t>
      </w:r>
    </w:p>
    <w:p>
      <w:pPr>
        <w:spacing w:after="0" w:line="106" w:lineRule="exact"/>
        <w:rPr>
          <w:sz w:val="20"/>
          <w:szCs w:val="20"/>
          <w:color w:val="auto"/>
        </w:rPr>
      </w:pPr>
    </w:p>
    <w:p>
      <w:pPr>
        <w:ind w:left="660" w:hanging="325"/>
        <w:spacing w:after="0" w:line="285"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elect as directors the nine nominees named in the attached Proxy Statement to serve until the next Annual Meeting of Stockholders or until their successors are duly qualified or until their earlier death, resignation, or removal.</w:t>
      </w:r>
    </w:p>
    <w:p>
      <w:pPr>
        <w:spacing w:after="0" w:line="100"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approve, by non-binding vote, the compensation paid to Artivion’s Named Executive Officers, as disclosed pursuant to Item 402 of Regulation S-K, including the Compensation Discussion and Analysis, compensation tables, and narrative discussion.</w:t>
      </w:r>
    </w:p>
    <w:p>
      <w:pPr>
        <w:spacing w:after="0" w:line="89"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ratify the preliminary approval of Ernst &amp; Young LLP as the independent registered public accounting firm for the Company for the fiscal year ending December 31, 2026.</w:t>
      </w:r>
    </w:p>
    <w:p>
      <w:pPr>
        <w:spacing w:after="0" w:line="89" w:lineRule="exact"/>
        <w:rPr>
          <w:rFonts w:ascii="Arial" w:cs="Arial" w:eastAsia="Arial" w:hAnsi="Arial"/>
          <w:sz w:val="15"/>
          <w:szCs w:val="15"/>
          <w:color w:val="auto"/>
        </w:rPr>
      </w:pPr>
    </w:p>
    <w:p>
      <w:pPr>
        <w:ind w:left="660" w:hanging="325"/>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transact such other business as may be properly brought before the Annual Meeting or any adjournments thereof.</w:t>
      </w:r>
    </w:p>
    <w:p>
      <w:pPr>
        <w:spacing w:after="0" w:line="164"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Only record holders of Artivion’s common stock at the close of business on March 16, 2026, will be eligible to vote during the Annual Meeting. Artivion would like for you to attend the Annual Meeting. However, if there is any chance that you may not be able to attend the Annual Meeting, please follow the instructions on the Notice or Proxy Card you received by mail to vote via internet, telephone, or mail.</w:t>
      </w:r>
    </w:p>
    <w:p>
      <w:pPr>
        <w:spacing w:after="0" w:line="104"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b w:val="1"/>
          <w:bCs w:val="1"/>
          <w:color w:val="auto"/>
        </w:rPr>
        <w:t xml:space="preserve">Important notice regarding the availability of proxy materials for the Annual Meeting of Stockholders to be held on May 12, 2026. </w:t>
      </w:r>
      <w:r>
        <w:rPr>
          <w:rFonts w:ascii="Arial" w:cs="Arial" w:eastAsia="Arial" w:hAnsi="Arial"/>
          <w:sz w:val="15"/>
          <w:szCs w:val="15"/>
          <w:color w:val="auto"/>
        </w:rPr>
        <w:t>Pursuant to the rules promulgated by the Securities and Exchange Commission, we have elected to provide access to our proxy materials by notifying you of the availability of our proxy materials, including the Annual Meeting notice, Proxy Statement, and our 2025 Annual Report to Stockholders, both via internet at http://www.astproxyportal.com/ast/01609 and by providing the means whereby you can request a paper copy of proxy materials to be sent via U.S. mail.</w:t>
      </w:r>
    </w:p>
    <w:p>
      <w:pPr>
        <w:spacing w:after="0" w:line="114"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113665</wp:posOffset>
            </wp:positionV>
            <wp:extent cx="1193165"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31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JEAN F. HOLLOWAY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General Counsel and Corporate Secretary</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Date: April 1, 2026</w:t>
      </w:r>
    </w:p>
    <w:p>
      <w:pPr>
        <w:spacing w:after="0" w:line="152" w:lineRule="exact"/>
        <w:rPr>
          <w:sz w:val="20"/>
          <w:szCs w:val="20"/>
          <w:color w:val="auto"/>
        </w:rPr>
      </w:pPr>
    </w:p>
    <w:p>
      <w:pPr>
        <w:jc w:val="both"/>
        <w:ind w:firstLine="334"/>
        <w:spacing w:after="0" w:line="271" w:lineRule="auto"/>
        <w:rPr>
          <w:sz w:val="20"/>
          <w:szCs w:val="20"/>
          <w:color w:val="auto"/>
        </w:rPr>
      </w:pPr>
      <w:r>
        <w:rPr>
          <w:rFonts w:ascii="Arial" w:cs="Arial" w:eastAsia="Arial" w:hAnsi="Arial"/>
          <w:sz w:val="15"/>
          <w:szCs w:val="15"/>
          <w:color w:val="auto"/>
        </w:rPr>
        <w:t>An electronic copy of Artivion’s 2025 Annual Report to Stockholders, which includes Artivion’s Annual Report on Form 10-K for the fiscal year ended December 31, 2025, including financial statements, is available via the proxy information website provided on your proxy Notice or Proxy Card.</w:t>
      </w:r>
    </w:p>
    <w:p>
      <w:pPr>
        <w:sectPr>
          <w:pgSz w:w="11900" w:h="16838" w:orient="portrait"/>
          <w:cols w:equalWidth="0" w:num="1">
            <w:col w:w="10020"/>
          </w:cols>
          <w:pgMar w:left="980" w:top="14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ARTIVION,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443230</wp:posOffset>
            </wp:positionV>
            <wp:extent cx="720534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1440" w:right="8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72"/>
        </w:trPr>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9260" w:type="dxa"/>
            <w:vAlign w:val="bottom"/>
            <w:gridSpan w:val="26"/>
            <w:shd w:val="clear" w:color="auto" w:fill="DFE4EA"/>
          </w:tcPr>
          <w:p>
            <w:pPr>
              <w:spacing w:after="0"/>
              <w:rPr>
                <w:sz w:val="20"/>
                <w:szCs w:val="20"/>
                <w:color w:val="auto"/>
              </w:rPr>
            </w:pPr>
            <w:r>
              <w:rPr>
                <w:rFonts w:ascii="Arial" w:cs="Arial" w:eastAsia="Arial" w:hAnsi="Arial"/>
                <w:sz w:val="15"/>
                <w:szCs w:val="15"/>
                <w:color w:val="0000EE"/>
              </w:rPr>
              <w:t>QUESTIONS AND ANSWERS REGARDING THIS SOLICITATION AND VOTING DURING THE</w:t>
            </w:r>
          </w:p>
        </w:tc>
        <w:tc>
          <w:tcPr>
            <w:tcW w:w="760" w:type="dxa"/>
            <w:vAlign w:val="bottom"/>
            <w:vMerge w:val="restart"/>
            <w:shd w:val="clear" w:color="auto" w:fill="DFE4EA"/>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54"/>
        </w:trPr>
        <w:tc>
          <w:tcPr>
            <w:tcW w:w="160" w:type="dxa"/>
            <w:vAlign w:val="bottom"/>
            <w:tcBorders>
              <w:top w:val="single" w:sz="8" w:color="0000EE"/>
            </w:tcBorders>
            <w:shd w:val="clear" w:color="auto" w:fill="DFE4EA"/>
          </w:tcPr>
          <w:p>
            <w:pPr>
              <w:spacing w:after="0"/>
              <w:rPr>
                <w:sz w:val="13"/>
                <w:szCs w:val="13"/>
                <w:color w:val="auto"/>
              </w:rPr>
            </w:pPr>
          </w:p>
        </w:tc>
        <w:tc>
          <w:tcPr>
            <w:tcW w:w="6420" w:type="dxa"/>
            <w:vAlign w:val="bottom"/>
            <w:tcBorders>
              <w:top w:val="single" w:sz="8" w:color="0000EE"/>
            </w:tcBorders>
            <w:gridSpan w:val="21"/>
            <w:shd w:val="clear" w:color="auto" w:fill="DFE4EA"/>
          </w:tcPr>
          <w:p>
            <w:pPr>
              <w:spacing w:after="0" w:line="154" w:lineRule="exact"/>
              <w:rPr>
                <w:sz w:val="20"/>
                <w:szCs w:val="20"/>
                <w:color w:val="auto"/>
              </w:rPr>
            </w:pPr>
            <w:r>
              <w:rPr>
                <w:rFonts w:ascii="Arial" w:cs="Arial" w:eastAsia="Arial" w:hAnsi="Arial"/>
                <w:sz w:val="15"/>
                <w:szCs w:val="15"/>
                <w:color w:val="0000EE"/>
              </w:rPr>
              <w:t>ANNUAL MEETING</w:t>
            </w:r>
          </w:p>
        </w:tc>
        <w:tc>
          <w:tcPr>
            <w:tcW w:w="780" w:type="dxa"/>
            <w:vAlign w:val="bottom"/>
            <w:tcBorders>
              <w:top w:val="single" w:sz="8" w:color="DFE4EA"/>
            </w:tcBorders>
            <w:shd w:val="clear" w:color="auto" w:fill="DFE4EA"/>
          </w:tcPr>
          <w:p>
            <w:pPr>
              <w:spacing w:after="0"/>
              <w:rPr>
                <w:sz w:val="13"/>
                <w:szCs w:val="13"/>
                <w:color w:val="auto"/>
              </w:rPr>
            </w:pPr>
          </w:p>
        </w:tc>
        <w:tc>
          <w:tcPr>
            <w:tcW w:w="1340" w:type="dxa"/>
            <w:vAlign w:val="bottom"/>
            <w:tcBorders>
              <w:top w:val="single" w:sz="8" w:color="DFE4EA"/>
            </w:tcBorders>
            <w:shd w:val="clear" w:color="auto" w:fill="DFE4EA"/>
          </w:tcPr>
          <w:p>
            <w:pPr>
              <w:spacing w:after="0"/>
              <w:rPr>
                <w:sz w:val="13"/>
                <w:szCs w:val="13"/>
                <w:color w:val="auto"/>
              </w:rPr>
            </w:pPr>
          </w:p>
        </w:tc>
        <w:tc>
          <w:tcPr>
            <w:tcW w:w="240" w:type="dxa"/>
            <w:vAlign w:val="bottom"/>
            <w:tcBorders>
              <w:top w:val="single" w:sz="8" w:color="DFE4EA"/>
            </w:tcBorders>
            <w:shd w:val="clear" w:color="auto" w:fill="DFE4EA"/>
          </w:tcPr>
          <w:p>
            <w:pPr>
              <w:spacing w:after="0"/>
              <w:rPr>
                <w:sz w:val="13"/>
                <w:szCs w:val="13"/>
                <w:color w:val="auto"/>
              </w:rPr>
            </w:pPr>
          </w:p>
        </w:tc>
        <w:tc>
          <w:tcPr>
            <w:tcW w:w="320" w:type="dxa"/>
            <w:vAlign w:val="bottom"/>
            <w:tcBorders>
              <w:top w:val="single" w:sz="8" w:color="DFE4EA"/>
            </w:tcBorders>
            <w:shd w:val="clear" w:color="auto" w:fill="DFE4EA"/>
          </w:tcPr>
          <w:p>
            <w:pPr>
              <w:spacing w:after="0"/>
              <w:rPr>
                <w:sz w:val="13"/>
                <w:szCs w:val="13"/>
                <w:color w:val="auto"/>
              </w:rPr>
            </w:pPr>
          </w:p>
        </w:tc>
        <w:tc>
          <w:tcPr>
            <w:tcW w:w="760" w:type="dxa"/>
            <w:vAlign w:val="bottom"/>
            <w:tcBorders>
              <w:top w:val="single" w:sz="8" w:color="DFE4EA"/>
            </w:tcBorders>
            <w:vMerge w:val="continue"/>
            <w:shd w:val="clear" w:color="auto" w:fill="DFE4EA"/>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60" w:type="dxa"/>
            <w:vAlign w:val="bottom"/>
            <w:tcBorders>
              <w:top w:val="single" w:sz="8" w:color="DFE4EA"/>
            </w:tcBorders>
            <w:shd w:val="clear" w:color="auto" w:fill="DFE4EA"/>
          </w:tcPr>
          <w:p>
            <w:pPr>
              <w:spacing w:after="0"/>
              <w:rPr>
                <w:sz w:val="8"/>
                <w:szCs w:val="8"/>
                <w:color w:val="auto"/>
              </w:rPr>
            </w:pPr>
          </w:p>
        </w:tc>
        <w:tc>
          <w:tcPr>
            <w:tcW w:w="1100" w:type="dxa"/>
            <w:vAlign w:val="bottom"/>
            <w:tcBorders>
              <w:top w:val="single" w:sz="8" w:color="0000EE"/>
            </w:tcBorders>
            <w:shd w:val="clear" w:color="auto" w:fill="DFE4EA"/>
          </w:tcPr>
          <w:p>
            <w:pPr>
              <w:spacing w:after="0"/>
              <w:rPr>
                <w:sz w:val="8"/>
                <w:szCs w:val="8"/>
                <w:color w:val="auto"/>
              </w:rPr>
            </w:pPr>
          </w:p>
        </w:tc>
        <w:tc>
          <w:tcPr>
            <w:tcW w:w="80" w:type="dxa"/>
            <w:vAlign w:val="bottom"/>
            <w:tcBorders>
              <w:top w:val="single" w:sz="8" w:color="0000EE"/>
            </w:tcBorders>
            <w:shd w:val="clear" w:color="auto" w:fill="DFE4EA"/>
          </w:tcPr>
          <w:p>
            <w:pPr>
              <w:spacing w:after="0"/>
              <w:rPr>
                <w:sz w:val="8"/>
                <w:szCs w:val="8"/>
                <w:color w:val="auto"/>
              </w:rPr>
            </w:pPr>
          </w:p>
        </w:tc>
        <w:tc>
          <w:tcPr>
            <w:tcW w:w="20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460" w:type="dxa"/>
            <w:vAlign w:val="bottom"/>
            <w:tcBorders>
              <w:top w:val="single" w:sz="8" w:color="DFE4EA"/>
            </w:tcBorders>
            <w:shd w:val="clear" w:color="auto" w:fill="DFE4EA"/>
          </w:tcPr>
          <w:p>
            <w:pPr>
              <w:spacing w:after="0"/>
              <w:rPr>
                <w:sz w:val="8"/>
                <w:szCs w:val="8"/>
                <w:color w:val="auto"/>
              </w:rPr>
            </w:pPr>
          </w:p>
        </w:tc>
        <w:tc>
          <w:tcPr>
            <w:tcW w:w="180" w:type="dxa"/>
            <w:vAlign w:val="bottom"/>
            <w:tcBorders>
              <w:top w:val="single" w:sz="8" w:color="DFE4EA"/>
            </w:tcBorders>
            <w:shd w:val="clear" w:color="auto" w:fill="DFE4EA"/>
          </w:tcPr>
          <w:p>
            <w:pPr>
              <w:spacing w:after="0"/>
              <w:rPr>
                <w:sz w:val="8"/>
                <w:szCs w:val="8"/>
                <w:color w:val="auto"/>
              </w:rPr>
            </w:pPr>
          </w:p>
        </w:tc>
        <w:tc>
          <w:tcPr>
            <w:tcW w:w="140" w:type="dxa"/>
            <w:vAlign w:val="bottom"/>
            <w:tcBorders>
              <w:top w:val="single" w:sz="8" w:color="DFE4EA"/>
            </w:tcBorders>
            <w:shd w:val="clear" w:color="auto" w:fill="DFE4EA"/>
          </w:tcPr>
          <w:p>
            <w:pPr>
              <w:spacing w:after="0"/>
              <w:rPr>
                <w:sz w:val="8"/>
                <w:szCs w:val="8"/>
                <w:color w:val="auto"/>
              </w:rPr>
            </w:pPr>
          </w:p>
        </w:tc>
        <w:tc>
          <w:tcPr>
            <w:tcW w:w="180" w:type="dxa"/>
            <w:vAlign w:val="bottom"/>
            <w:tcBorders>
              <w:top w:val="single" w:sz="8" w:color="DFE4EA"/>
            </w:tcBorders>
            <w:shd w:val="clear" w:color="auto" w:fill="DFE4EA"/>
          </w:tcPr>
          <w:p>
            <w:pPr>
              <w:spacing w:after="0"/>
              <w:rPr>
                <w:sz w:val="8"/>
                <w:szCs w:val="8"/>
                <w:color w:val="auto"/>
              </w:rPr>
            </w:pPr>
          </w:p>
        </w:tc>
        <w:tc>
          <w:tcPr>
            <w:tcW w:w="120" w:type="dxa"/>
            <w:vAlign w:val="bottom"/>
            <w:tcBorders>
              <w:top w:val="single" w:sz="8" w:color="DFE4EA"/>
            </w:tcBorders>
            <w:shd w:val="clear" w:color="auto" w:fill="DFE4EA"/>
          </w:tcPr>
          <w:p>
            <w:pPr>
              <w:spacing w:after="0"/>
              <w:rPr>
                <w:sz w:val="8"/>
                <w:szCs w:val="8"/>
                <w:color w:val="auto"/>
              </w:rPr>
            </w:pPr>
          </w:p>
        </w:tc>
        <w:tc>
          <w:tcPr>
            <w:tcW w:w="60" w:type="dxa"/>
            <w:vAlign w:val="bottom"/>
            <w:tcBorders>
              <w:top w:val="single" w:sz="8" w:color="DFE4EA"/>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520" w:type="dxa"/>
            <w:vAlign w:val="bottom"/>
            <w:tcBorders>
              <w:top w:val="single" w:sz="8" w:color="DFE4EA"/>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42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280" w:type="dxa"/>
            <w:vAlign w:val="bottom"/>
            <w:tcBorders>
              <w:top w:val="single" w:sz="8" w:color="DFE4EA"/>
            </w:tcBorders>
            <w:shd w:val="clear" w:color="auto" w:fill="DFE4EA"/>
          </w:tcPr>
          <w:p>
            <w:pPr>
              <w:spacing w:after="0"/>
              <w:rPr>
                <w:sz w:val="8"/>
                <w:szCs w:val="8"/>
                <w:color w:val="auto"/>
              </w:rPr>
            </w:pPr>
          </w:p>
        </w:tc>
        <w:tc>
          <w:tcPr>
            <w:tcW w:w="50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780" w:type="dxa"/>
            <w:vAlign w:val="bottom"/>
            <w:tcBorders>
              <w:top w:val="single" w:sz="8" w:color="DFE4EA"/>
            </w:tcBorders>
            <w:shd w:val="clear" w:color="auto" w:fill="DFE4EA"/>
          </w:tcPr>
          <w:p>
            <w:pPr>
              <w:spacing w:after="0"/>
              <w:rPr>
                <w:sz w:val="8"/>
                <w:szCs w:val="8"/>
                <w:color w:val="auto"/>
              </w:rPr>
            </w:pPr>
          </w:p>
        </w:tc>
        <w:tc>
          <w:tcPr>
            <w:tcW w:w="1340" w:type="dxa"/>
            <w:vAlign w:val="bottom"/>
            <w:tcBorders>
              <w:top w:val="single" w:sz="8" w:color="DFE4EA"/>
            </w:tcBorders>
            <w:shd w:val="clear" w:color="auto" w:fill="DFE4EA"/>
          </w:tcPr>
          <w:p>
            <w:pPr>
              <w:spacing w:after="0"/>
              <w:rPr>
                <w:sz w:val="8"/>
                <w:szCs w:val="8"/>
                <w:color w:val="auto"/>
              </w:rPr>
            </w:pPr>
          </w:p>
        </w:tc>
        <w:tc>
          <w:tcPr>
            <w:tcW w:w="24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760" w:type="dxa"/>
            <w:vAlign w:val="bottom"/>
            <w:tcBorders>
              <w:top w:val="single" w:sz="8" w:color="DFE4EA"/>
            </w:tcBorders>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tcPr>
          <w:p>
            <w:pPr>
              <w:spacing w:after="0"/>
              <w:rPr>
                <w:sz w:val="20"/>
                <w:szCs w:val="20"/>
                <w:color w:val="auto"/>
              </w:rPr>
            </w:pPr>
            <w:r>
              <w:rPr>
                <w:rFonts w:ascii="Arial" w:cs="Arial" w:eastAsia="Arial" w:hAnsi="Arial"/>
                <w:sz w:val="15"/>
                <w:szCs w:val="15"/>
                <w:b w:val="1"/>
                <w:bCs w:val="1"/>
                <w:color w:val="0000EE"/>
              </w:rPr>
              <w:t>PROPOSAL ONE – ELECTION OF DIRECTORS</w:t>
            </w:r>
          </w:p>
        </w:tc>
        <w:tc>
          <w:tcPr>
            <w:tcW w:w="76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shd w:val="clear" w:color="auto" w:fill="DFE4EA"/>
          </w:tcPr>
          <w:p>
            <w:pPr>
              <w:spacing w:after="0"/>
              <w:rPr>
                <w:sz w:val="20"/>
                <w:szCs w:val="20"/>
                <w:color w:val="auto"/>
              </w:rPr>
            </w:pPr>
            <w:r>
              <w:rPr>
                <w:rFonts w:ascii="Arial" w:cs="Arial" w:eastAsia="Arial" w:hAnsi="Arial"/>
                <w:sz w:val="15"/>
                <w:szCs w:val="15"/>
                <w:color w:val="0000EE"/>
              </w:rPr>
              <w:t>CORPORATE GOVERNANCE AND BOARD OF DIRECTORS MATTERS</w:t>
            </w:r>
          </w:p>
        </w:tc>
        <w:tc>
          <w:tcPr>
            <w:tcW w:w="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shd w:val="clear" w:color="auto" w:fill="DFE4EA"/>
          </w:tcPr>
          <w:p>
            <w:pPr>
              <w:spacing w:after="0"/>
              <w:rPr>
                <w:sz w:val="8"/>
                <w:szCs w:val="8"/>
                <w:color w:val="auto"/>
              </w:rPr>
            </w:pPr>
          </w:p>
        </w:tc>
        <w:tc>
          <w:tcPr>
            <w:tcW w:w="1100" w:type="dxa"/>
            <w:vAlign w:val="bottom"/>
            <w:tcBorders>
              <w:top w:val="single" w:sz="8" w:color="0000EE"/>
            </w:tcBorders>
            <w:shd w:val="clear" w:color="auto" w:fill="DFE4EA"/>
          </w:tcPr>
          <w:p>
            <w:pPr>
              <w:spacing w:after="0"/>
              <w:rPr>
                <w:sz w:val="8"/>
                <w:szCs w:val="8"/>
                <w:color w:val="auto"/>
              </w:rPr>
            </w:pPr>
          </w:p>
        </w:tc>
        <w:tc>
          <w:tcPr>
            <w:tcW w:w="80" w:type="dxa"/>
            <w:vAlign w:val="bottom"/>
            <w:tcBorders>
              <w:top w:val="single" w:sz="8" w:color="0000EE"/>
            </w:tcBorders>
            <w:shd w:val="clear" w:color="auto" w:fill="DFE4EA"/>
          </w:tcPr>
          <w:p>
            <w:pPr>
              <w:spacing w:after="0"/>
              <w:rPr>
                <w:sz w:val="8"/>
                <w:szCs w:val="8"/>
                <w:color w:val="auto"/>
              </w:rPr>
            </w:pPr>
          </w:p>
        </w:tc>
        <w:tc>
          <w:tcPr>
            <w:tcW w:w="20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46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4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20" w:type="dxa"/>
            <w:vAlign w:val="bottom"/>
            <w:tcBorders>
              <w:top w:val="single" w:sz="8" w:color="0000EE"/>
            </w:tcBorders>
            <w:shd w:val="clear" w:color="auto" w:fill="DFE4EA"/>
          </w:tcPr>
          <w:p>
            <w:pPr>
              <w:spacing w:after="0"/>
              <w:rPr>
                <w:sz w:val="8"/>
                <w:szCs w:val="8"/>
                <w:color w:val="auto"/>
              </w:rPr>
            </w:pPr>
          </w:p>
        </w:tc>
        <w:tc>
          <w:tcPr>
            <w:tcW w:w="6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52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320" w:type="dxa"/>
            <w:vAlign w:val="bottom"/>
            <w:tcBorders>
              <w:top w:val="single" w:sz="8" w:color="0000EE"/>
            </w:tcBorders>
            <w:shd w:val="clear" w:color="auto" w:fill="DFE4EA"/>
          </w:tcPr>
          <w:p>
            <w:pPr>
              <w:spacing w:after="0"/>
              <w:rPr>
                <w:sz w:val="8"/>
                <w:szCs w:val="8"/>
                <w:color w:val="auto"/>
              </w:rPr>
            </w:pPr>
          </w:p>
        </w:tc>
        <w:tc>
          <w:tcPr>
            <w:tcW w:w="620" w:type="dxa"/>
            <w:vAlign w:val="bottom"/>
            <w:tcBorders>
              <w:top w:val="single" w:sz="8" w:color="0000EE"/>
            </w:tcBorders>
            <w:shd w:val="clear" w:color="auto" w:fill="DFE4EA"/>
          </w:tcPr>
          <w:p>
            <w:pPr>
              <w:spacing w:after="0"/>
              <w:rPr>
                <w:sz w:val="8"/>
                <w:szCs w:val="8"/>
                <w:color w:val="auto"/>
              </w:rPr>
            </w:pPr>
          </w:p>
        </w:tc>
        <w:tc>
          <w:tcPr>
            <w:tcW w:w="620" w:type="dxa"/>
            <w:vAlign w:val="bottom"/>
            <w:tcBorders>
              <w:top w:val="single" w:sz="8" w:color="0000EE"/>
            </w:tcBorders>
            <w:shd w:val="clear" w:color="auto" w:fill="DFE4EA"/>
          </w:tcPr>
          <w:p>
            <w:pPr>
              <w:spacing w:after="0"/>
              <w:rPr>
                <w:sz w:val="8"/>
                <w:szCs w:val="8"/>
                <w:color w:val="auto"/>
              </w:rPr>
            </w:pPr>
          </w:p>
        </w:tc>
        <w:tc>
          <w:tcPr>
            <w:tcW w:w="42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280" w:type="dxa"/>
            <w:vAlign w:val="bottom"/>
            <w:tcBorders>
              <w:top w:val="single" w:sz="8" w:color="DFE4EA"/>
            </w:tcBorders>
            <w:shd w:val="clear" w:color="auto" w:fill="DFE4EA"/>
          </w:tcPr>
          <w:p>
            <w:pPr>
              <w:spacing w:after="0"/>
              <w:rPr>
                <w:sz w:val="8"/>
                <w:szCs w:val="8"/>
                <w:color w:val="auto"/>
              </w:rPr>
            </w:pPr>
          </w:p>
        </w:tc>
        <w:tc>
          <w:tcPr>
            <w:tcW w:w="50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780" w:type="dxa"/>
            <w:vAlign w:val="bottom"/>
            <w:tcBorders>
              <w:top w:val="single" w:sz="8" w:color="DFE4EA"/>
            </w:tcBorders>
            <w:shd w:val="clear" w:color="auto" w:fill="DFE4EA"/>
          </w:tcPr>
          <w:p>
            <w:pPr>
              <w:spacing w:after="0"/>
              <w:rPr>
                <w:sz w:val="8"/>
                <w:szCs w:val="8"/>
                <w:color w:val="auto"/>
              </w:rPr>
            </w:pPr>
          </w:p>
        </w:tc>
        <w:tc>
          <w:tcPr>
            <w:tcW w:w="1340" w:type="dxa"/>
            <w:vAlign w:val="bottom"/>
            <w:tcBorders>
              <w:top w:val="single" w:sz="8" w:color="DFE4EA"/>
            </w:tcBorders>
            <w:shd w:val="clear" w:color="auto" w:fill="DFE4EA"/>
          </w:tcPr>
          <w:p>
            <w:pPr>
              <w:spacing w:after="0"/>
              <w:rPr>
                <w:sz w:val="8"/>
                <w:szCs w:val="8"/>
                <w:color w:val="auto"/>
              </w:rPr>
            </w:pPr>
          </w:p>
        </w:tc>
        <w:tc>
          <w:tcPr>
            <w:tcW w:w="24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760" w:type="dxa"/>
            <w:vAlign w:val="bottom"/>
            <w:tcBorders>
              <w:top w:val="single" w:sz="8" w:color="DFE4EA"/>
            </w:tcBorders>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tcPr>
          <w:p>
            <w:pPr>
              <w:spacing w:after="0"/>
              <w:rPr>
                <w:sz w:val="20"/>
                <w:szCs w:val="20"/>
                <w:color w:val="auto"/>
              </w:rPr>
            </w:pPr>
            <w:r>
              <w:rPr>
                <w:rFonts w:ascii="Arial" w:cs="Arial" w:eastAsia="Arial" w:hAnsi="Arial"/>
                <w:sz w:val="15"/>
                <w:szCs w:val="15"/>
                <w:color w:val="0000EE"/>
              </w:rPr>
              <w:t>PROCEDURES FOR STOCKHOLDERS WHO WISH TO SUBMIT RECOMMENDATIONS TO THE BOARD</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54"/>
        </w:trPr>
        <w:tc>
          <w:tcPr>
            <w:tcW w:w="160" w:type="dxa"/>
            <w:vAlign w:val="bottom"/>
            <w:tcBorders>
              <w:top w:val="single" w:sz="8" w:color="0000EE"/>
            </w:tcBorders>
          </w:tcPr>
          <w:p>
            <w:pPr>
              <w:spacing w:after="0"/>
              <w:rPr>
                <w:sz w:val="13"/>
                <w:szCs w:val="13"/>
                <w:color w:val="auto"/>
              </w:rPr>
            </w:pPr>
          </w:p>
        </w:tc>
        <w:tc>
          <w:tcPr>
            <w:tcW w:w="7200" w:type="dxa"/>
            <w:vAlign w:val="bottom"/>
            <w:tcBorders>
              <w:top w:val="single" w:sz="8" w:color="0000EE"/>
            </w:tcBorders>
            <w:gridSpan w:val="22"/>
          </w:tcPr>
          <w:p>
            <w:pPr>
              <w:spacing w:after="0" w:line="154" w:lineRule="exact"/>
              <w:rPr>
                <w:sz w:val="20"/>
                <w:szCs w:val="20"/>
                <w:color w:val="auto"/>
              </w:rPr>
            </w:pPr>
            <w:r>
              <w:rPr>
                <w:rFonts w:ascii="Arial" w:cs="Arial" w:eastAsia="Arial" w:hAnsi="Arial"/>
                <w:sz w:val="15"/>
                <w:szCs w:val="15"/>
                <w:color w:val="0000EE"/>
              </w:rPr>
              <w:t>OF DIRECTORS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60" w:type="dxa"/>
            <w:vAlign w:val="bottom"/>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shd w:val="clear" w:color="auto" w:fill="DFE4EA"/>
          </w:tcPr>
          <w:p>
            <w:pPr>
              <w:spacing w:after="0"/>
              <w:rPr>
                <w:sz w:val="20"/>
                <w:szCs w:val="20"/>
                <w:color w:val="auto"/>
              </w:rPr>
            </w:pPr>
            <w:r>
              <w:rPr>
                <w:rFonts w:ascii="Arial" w:cs="Arial" w:eastAsia="Arial" w:hAnsi="Arial"/>
                <w:sz w:val="15"/>
                <w:szCs w:val="15"/>
                <w:color w:val="0000EE"/>
              </w:rPr>
              <w:t>ARTIVION’S CODE OF CONDUCT</w:t>
            </w:r>
          </w:p>
        </w:tc>
        <w:tc>
          <w:tcPr>
            <w:tcW w:w="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shd w:val="clear" w:color="auto" w:fill="DFE4EA"/>
          </w:tcPr>
          <w:p>
            <w:pPr>
              <w:spacing w:after="0"/>
              <w:rPr>
                <w:sz w:val="8"/>
                <w:szCs w:val="8"/>
                <w:color w:val="auto"/>
              </w:rPr>
            </w:pPr>
          </w:p>
        </w:tc>
        <w:tc>
          <w:tcPr>
            <w:tcW w:w="1100" w:type="dxa"/>
            <w:vAlign w:val="bottom"/>
            <w:tcBorders>
              <w:top w:val="single" w:sz="8" w:color="0000EE"/>
            </w:tcBorders>
            <w:shd w:val="clear" w:color="auto" w:fill="DFE4EA"/>
          </w:tcPr>
          <w:p>
            <w:pPr>
              <w:spacing w:after="0"/>
              <w:rPr>
                <w:sz w:val="8"/>
                <w:szCs w:val="8"/>
                <w:color w:val="auto"/>
              </w:rPr>
            </w:pPr>
          </w:p>
        </w:tc>
        <w:tc>
          <w:tcPr>
            <w:tcW w:w="80" w:type="dxa"/>
            <w:vAlign w:val="bottom"/>
            <w:tcBorders>
              <w:top w:val="single" w:sz="8" w:color="0000EE"/>
            </w:tcBorders>
            <w:shd w:val="clear" w:color="auto" w:fill="DFE4EA"/>
          </w:tcPr>
          <w:p>
            <w:pPr>
              <w:spacing w:after="0"/>
              <w:rPr>
                <w:sz w:val="8"/>
                <w:szCs w:val="8"/>
                <w:color w:val="auto"/>
              </w:rPr>
            </w:pPr>
          </w:p>
        </w:tc>
        <w:tc>
          <w:tcPr>
            <w:tcW w:w="20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46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4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DFE4EA"/>
            </w:tcBorders>
            <w:shd w:val="clear" w:color="auto" w:fill="DFE4EA"/>
          </w:tcPr>
          <w:p>
            <w:pPr>
              <w:spacing w:after="0"/>
              <w:rPr>
                <w:sz w:val="8"/>
                <w:szCs w:val="8"/>
                <w:color w:val="auto"/>
              </w:rPr>
            </w:pPr>
          </w:p>
        </w:tc>
        <w:tc>
          <w:tcPr>
            <w:tcW w:w="120" w:type="dxa"/>
            <w:vAlign w:val="bottom"/>
            <w:tcBorders>
              <w:top w:val="single" w:sz="8" w:color="DFE4EA"/>
            </w:tcBorders>
            <w:shd w:val="clear" w:color="auto" w:fill="DFE4EA"/>
          </w:tcPr>
          <w:p>
            <w:pPr>
              <w:spacing w:after="0"/>
              <w:rPr>
                <w:sz w:val="8"/>
                <w:szCs w:val="8"/>
                <w:color w:val="auto"/>
              </w:rPr>
            </w:pPr>
          </w:p>
        </w:tc>
        <w:tc>
          <w:tcPr>
            <w:tcW w:w="60" w:type="dxa"/>
            <w:vAlign w:val="bottom"/>
            <w:tcBorders>
              <w:top w:val="single" w:sz="8" w:color="DFE4EA"/>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520" w:type="dxa"/>
            <w:vAlign w:val="bottom"/>
            <w:tcBorders>
              <w:top w:val="single" w:sz="8" w:color="DFE4EA"/>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42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280" w:type="dxa"/>
            <w:vAlign w:val="bottom"/>
            <w:tcBorders>
              <w:top w:val="single" w:sz="8" w:color="DFE4EA"/>
            </w:tcBorders>
            <w:shd w:val="clear" w:color="auto" w:fill="DFE4EA"/>
          </w:tcPr>
          <w:p>
            <w:pPr>
              <w:spacing w:after="0"/>
              <w:rPr>
                <w:sz w:val="8"/>
                <w:szCs w:val="8"/>
                <w:color w:val="auto"/>
              </w:rPr>
            </w:pPr>
          </w:p>
        </w:tc>
        <w:tc>
          <w:tcPr>
            <w:tcW w:w="50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780" w:type="dxa"/>
            <w:vAlign w:val="bottom"/>
            <w:tcBorders>
              <w:top w:val="single" w:sz="8" w:color="DFE4EA"/>
            </w:tcBorders>
            <w:shd w:val="clear" w:color="auto" w:fill="DFE4EA"/>
          </w:tcPr>
          <w:p>
            <w:pPr>
              <w:spacing w:after="0"/>
              <w:rPr>
                <w:sz w:val="8"/>
                <w:szCs w:val="8"/>
                <w:color w:val="auto"/>
              </w:rPr>
            </w:pPr>
          </w:p>
        </w:tc>
        <w:tc>
          <w:tcPr>
            <w:tcW w:w="1340" w:type="dxa"/>
            <w:vAlign w:val="bottom"/>
            <w:tcBorders>
              <w:top w:val="single" w:sz="8" w:color="DFE4EA"/>
            </w:tcBorders>
            <w:shd w:val="clear" w:color="auto" w:fill="DFE4EA"/>
          </w:tcPr>
          <w:p>
            <w:pPr>
              <w:spacing w:after="0"/>
              <w:rPr>
                <w:sz w:val="8"/>
                <w:szCs w:val="8"/>
                <w:color w:val="auto"/>
              </w:rPr>
            </w:pPr>
          </w:p>
        </w:tc>
        <w:tc>
          <w:tcPr>
            <w:tcW w:w="24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760" w:type="dxa"/>
            <w:vAlign w:val="bottom"/>
            <w:tcBorders>
              <w:top w:val="single" w:sz="8" w:color="DFE4EA"/>
            </w:tcBorders>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tcPr>
          <w:p>
            <w:pPr>
              <w:spacing w:after="0"/>
              <w:rPr>
                <w:sz w:val="20"/>
                <w:szCs w:val="20"/>
                <w:color w:val="auto"/>
              </w:rPr>
            </w:pPr>
            <w:r>
              <w:rPr>
                <w:rFonts w:ascii="Arial" w:cs="Arial" w:eastAsia="Arial" w:hAnsi="Arial"/>
                <w:sz w:val="15"/>
                <w:szCs w:val="15"/>
                <w:color w:val="0000EE"/>
              </w:rPr>
              <w:t>CORPORATE RESPONSIBILITY</w:t>
            </w:r>
          </w:p>
        </w:tc>
        <w:tc>
          <w:tcPr>
            <w:tcW w:w="76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shd w:val="clear" w:color="auto" w:fill="DFE4EA"/>
          </w:tcPr>
          <w:p>
            <w:pPr>
              <w:spacing w:after="0"/>
              <w:rPr>
                <w:sz w:val="20"/>
                <w:szCs w:val="20"/>
                <w:color w:val="auto"/>
              </w:rPr>
            </w:pPr>
            <w:r>
              <w:rPr>
                <w:rFonts w:ascii="Arial" w:cs="Arial" w:eastAsia="Arial" w:hAnsi="Arial"/>
                <w:sz w:val="15"/>
                <w:szCs w:val="15"/>
                <w:color w:val="0000EE"/>
              </w:rPr>
              <w:t>POLICIES AND PROCEDURES FOR REVIEW, APPROVAL, OR RATIFICATION OF TRANSACTIONS WITH RELATED PARTIES</w:t>
            </w:r>
          </w:p>
        </w:tc>
        <w:tc>
          <w:tcPr>
            <w:tcW w:w="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shd w:val="clear" w:color="auto" w:fill="DFE4EA"/>
          </w:tcPr>
          <w:p>
            <w:pPr>
              <w:spacing w:after="0"/>
              <w:rPr>
                <w:sz w:val="8"/>
                <w:szCs w:val="8"/>
                <w:color w:val="auto"/>
              </w:rPr>
            </w:pPr>
          </w:p>
        </w:tc>
        <w:tc>
          <w:tcPr>
            <w:tcW w:w="1100" w:type="dxa"/>
            <w:vAlign w:val="bottom"/>
            <w:tcBorders>
              <w:top w:val="single" w:sz="8" w:color="0000EE"/>
            </w:tcBorders>
            <w:shd w:val="clear" w:color="auto" w:fill="DFE4EA"/>
          </w:tcPr>
          <w:p>
            <w:pPr>
              <w:spacing w:after="0"/>
              <w:rPr>
                <w:sz w:val="8"/>
                <w:szCs w:val="8"/>
                <w:color w:val="auto"/>
              </w:rPr>
            </w:pPr>
          </w:p>
        </w:tc>
        <w:tc>
          <w:tcPr>
            <w:tcW w:w="80" w:type="dxa"/>
            <w:vAlign w:val="bottom"/>
            <w:tcBorders>
              <w:top w:val="single" w:sz="8" w:color="0000EE"/>
            </w:tcBorders>
            <w:shd w:val="clear" w:color="auto" w:fill="DFE4EA"/>
          </w:tcPr>
          <w:p>
            <w:pPr>
              <w:spacing w:after="0"/>
              <w:rPr>
                <w:sz w:val="8"/>
                <w:szCs w:val="8"/>
                <w:color w:val="auto"/>
              </w:rPr>
            </w:pPr>
          </w:p>
        </w:tc>
        <w:tc>
          <w:tcPr>
            <w:tcW w:w="20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46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4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20" w:type="dxa"/>
            <w:vAlign w:val="bottom"/>
            <w:tcBorders>
              <w:top w:val="single" w:sz="8" w:color="0000EE"/>
            </w:tcBorders>
            <w:shd w:val="clear" w:color="auto" w:fill="DFE4EA"/>
          </w:tcPr>
          <w:p>
            <w:pPr>
              <w:spacing w:after="0"/>
              <w:rPr>
                <w:sz w:val="8"/>
                <w:szCs w:val="8"/>
                <w:color w:val="auto"/>
              </w:rPr>
            </w:pPr>
          </w:p>
        </w:tc>
        <w:tc>
          <w:tcPr>
            <w:tcW w:w="6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52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320" w:type="dxa"/>
            <w:vAlign w:val="bottom"/>
            <w:tcBorders>
              <w:top w:val="single" w:sz="8" w:color="0000EE"/>
            </w:tcBorders>
            <w:shd w:val="clear" w:color="auto" w:fill="DFE4EA"/>
          </w:tcPr>
          <w:p>
            <w:pPr>
              <w:spacing w:after="0"/>
              <w:rPr>
                <w:sz w:val="8"/>
                <w:szCs w:val="8"/>
                <w:color w:val="auto"/>
              </w:rPr>
            </w:pPr>
          </w:p>
        </w:tc>
        <w:tc>
          <w:tcPr>
            <w:tcW w:w="620" w:type="dxa"/>
            <w:vAlign w:val="bottom"/>
            <w:tcBorders>
              <w:top w:val="single" w:sz="8" w:color="0000EE"/>
            </w:tcBorders>
            <w:shd w:val="clear" w:color="auto" w:fill="DFE4EA"/>
          </w:tcPr>
          <w:p>
            <w:pPr>
              <w:spacing w:after="0"/>
              <w:rPr>
                <w:sz w:val="8"/>
                <w:szCs w:val="8"/>
                <w:color w:val="auto"/>
              </w:rPr>
            </w:pPr>
          </w:p>
        </w:tc>
        <w:tc>
          <w:tcPr>
            <w:tcW w:w="620" w:type="dxa"/>
            <w:vAlign w:val="bottom"/>
            <w:tcBorders>
              <w:top w:val="single" w:sz="8" w:color="0000EE"/>
            </w:tcBorders>
            <w:shd w:val="clear" w:color="auto" w:fill="DFE4EA"/>
          </w:tcPr>
          <w:p>
            <w:pPr>
              <w:spacing w:after="0"/>
              <w:rPr>
                <w:sz w:val="8"/>
                <w:szCs w:val="8"/>
                <w:color w:val="auto"/>
              </w:rPr>
            </w:pPr>
          </w:p>
        </w:tc>
        <w:tc>
          <w:tcPr>
            <w:tcW w:w="420" w:type="dxa"/>
            <w:vAlign w:val="bottom"/>
            <w:tcBorders>
              <w:top w:val="single" w:sz="8" w:color="0000EE"/>
            </w:tcBorders>
            <w:shd w:val="clear" w:color="auto" w:fill="DFE4EA"/>
          </w:tcPr>
          <w:p>
            <w:pPr>
              <w:spacing w:after="0"/>
              <w:rPr>
                <w:sz w:val="8"/>
                <w:szCs w:val="8"/>
                <w:color w:val="auto"/>
              </w:rPr>
            </w:pPr>
          </w:p>
        </w:tc>
        <w:tc>
          <w:tcPr>
            <w:tcW w:w="160" w:type="dxa"/>
            <w:vAlign w:val="bottom"/>
            <w:tcBorders>
              <w:top w:val="single" w:sz="8" w:color="0000EE"/>
            </w:tcBorders>
            <w:shd w:val="clear" w:color="auto" w:fill="DFE4EA"/>
          </w:tcPr>
          <w:p>
            <w:pPr>
              <w:spacing w:after="0"/>
              <w:rPr>
                <w:sz w:val="8"/>
                <w:szCs w:val="8"/>
                <w:color w:val="auto"/>
              </w:rPr>
            </w:pPr>
          </w:p>
        </w:tc>
        <w:tc>
          <w:tcPr>
            <w:tcW w:w="280" w:type="dxa"/>
            <w:vAlign w:val="bottom"/>
            <w:tcBorders>
              <w:top w:val="single" w:sz="8" w:color="0000EE"/>
            </w:tcBorders>
            <w:shd w:val="clear" w:color="auto" w:fill="DFE4EA"/>
          </w:tcPr>
          <w:p>
            <w:pPr>
              <w:spacing w:after="0"/>
              <w:rPr>
                <w:sz w:val="8"/>
                <w:szCs w:val="8"/>
                <w:color w:val="auto"/>
              </w:rPr>
            </w:pPr>
          </w:p>
        </w:tc>
        <w:tc>
          <w:tcPr>
            <w:tcW w:w="500" w:type="dxa"/>
            <w:vAlign w:val="bottom"/>
            <w:tcBorders>
              <w:top w:val="single" w:sz="8" w:color="0000EE"/>
            </w:tcBorders>
            <w:shd w:val="clear" w:color="auto" w:fill="DFE4EA"/>
          </w:tcPr>
          <w:p>
            <w:pPr>
              <w:spacing w:after="0"/>
              <w:rPr>
                <w:sz w:val="8"/>
                <w:szCs w:val="8"/>
                <w:color w:val="auto"/>
              </w:rPr>
            </w:pPr>
          </w:p>
        </w:tc>
        <w:tc>
          <w:tcPr>
            <w:tcW w:w="160" w:type="dxa"/>
            <w:vAlign w:val="bottom"/>
            <w:tcBorders>
              <w:top w:val="single" w:sz="8" w:color="0000EE"/>
            </w:tcBorders>
            <w:shd w:val="clear" w:color="auto" w:fill="DFE4EA"/>
          </w:tcPr>
          <w:p>
            <w:pPr>
              <w:spacing w:after="0"/>
              <w:rPr>
                <w:sz w:val="8"/>
                <w:szCs w:val="8"/>
                <w:color w:val="auto"/>
              </w:rPr>
            </w:pPr>
          </w:p>
        </w:tc>
        <w:tc>
          <w:tcPr>
            <w:tcW w:w="780" w:type="dxa"/>
            <w:vAlign w:val="bottom"/>
            <w:tcBorders>
              <w:top w:val="single" w:sz="8" w:color="0000EE"/>
            </w:tcBorders>
            <w:shd w:val="clear" w:color="auto" w:fill="DFE4EA"/>
          </w:tcPr>
          <w:p>
            <w:pPr>
              <w:spacing w:after="0"/>
              <w:rPr>
                <w:sz w:val="8"/>
                <w:szCs w:val="8"/>
                <w:color w:val="auto"/>
              </w:rPr>
            </w:pPr>
          </w:p>
        </w:tc>
        <w:tc>
          <w:tcPr>
            <w:tcW w:w="1340" w:type="dxa"/>
            <w:vAlign w:val="bottom"/>
            <w:tcBorders>
              <w:top w:val="single" w:sz="8" w:color="0000EE"/>
            </w:tcBorders>
            <w:shd w:val="clear" w:color="auto" w:fill="DFE4EA"/>
          </w:tcPr>
          <w:p>
            <w:pPr>
              <w:spacing w:after="0"/>
              <w:rPr>
                <w:sz w:val="8"/>
                <w:szCs w:val="8"/>
                <w:color w:val="auto"/>
              </w:rPr>
            </w:pPr>
          </w:p>
        </w:tc>
        <w:tc>
          <w:tcPr>
            <w:tcW w:w="240" w:type="dxa"/>
            <w:vAlign w:val="bottom"/>
            <w:tcBorders>
              <w:top w:val="single" w:sz="8" w:color="0000EE"/>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760" w:type="dxa"/>
            <w:vAlign w:val="bottom"/>
            <w:tcBorders>
              <w:top w:val="single" w:sz="8" w:color="DFE4EA"/>
            </w:tcBorders>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tcPr>
          <w:p>
            <w:pPr>
              <w:spacing w:after="0"/>
              <w:rPr>
                <w:sz w:val="20"/>
                <w:szCs w:val="20"/>
                <w:color w:val="auto"/>
              </w:rPr>
            </w:pPr>
            <w:r>
              <w:rPr>
                <w:rFonts w:ascii="Arial" w:cs="Arial" w:eastAsia="Arial" w:hAnsi="Arial"/>
                <w:sz w:val="15"/>
                <w:szCs w:val="15"/>
                <w:color w:val="0000EE"/>
              </w:rPr>
              <w:t>COMPENSATION COMMITTEE INTERLOCKS AND INSIDER PARTICIPATION</w:t>
            </w:r>
          </w:p>
        </w:tc>
        <w:tc>
          <w:tcPr>
            <w:tcW w:w="76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shd w:val="clear" w:color="auto" w:fill="DFE4EA"/>
          </w:tcPr>
          <w:p>
            <w:pPr>
              <w:spacing w:after="0"/>
              <w:rPr>
                <w:sz w:val="20"/>
                <w:szCs w:val="20"/>
                <w:color w:val="auto"/>
              </w:rPr>
            </w:pPr>
            <w:r>
              <w:rPr>
                <w:rFonts w:ascii="Arial" w:cs="Arial" w:eastAsia="Arial" w:hAnsi="Arial"/>
                <w:sz w:val="15"/>
                <w:szCs w:val="15"/>
                <w:color w:val="0000EE"/>
              </w:rPr>
              <w:t>COMMUNICATION WITH THE BOARD OF DIRECTORS AND ITS COMMITTEES</w:t>
            </w:r>
          </w:p>
        </w:tc>
        <w:tc>
          <w:tcPr>
            <w:tcW w:w="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shd w:val="clear" w:color="auto" w:fill="DFE4EA"/>
          </w:tcPr>
          <w:p>
            <w:pPr>
              <w:spacing w:after="0"/>
              <w:rPr>
                <w:sz w:val="8"/>
                <w:szCs w:val="8"/>
                <w:color w:val="auto"/>
              </w:rPr>
            </w:pPr>
          </w:p>
        </w:tc>
        <w:tc>
          <w:tcPr>
            <w:tcW w:w="1100" w:type="dxa"/>
            <w:vAlign w:val="bottom"/>
            <w:tcBorders>
              <w:top w:val="single" w:sz="8" w:color="0000EE"/>
            </w:tcBorders>
            <w:shd w:val="clear" w:color="auto" w:fill="DFE4EA"/>
          </w:tcPr>
          <w:p>
            <w:pPr>
              <w:spacing w:after="0"/>
              <w:rPr>
                <w:sz w:val="8"/>
                <w:szCs w:val="8"/>
                <w:color w:val="auto"/>
              </w:rPr>
            </w:pPr>
          </w:p>
        </w:tc>
        <w:tc>
          <w:tcPr>
            <w:tcW w:w="80" w:type="dxa"/>
            <w:vAlign w:val="bottom"/>
            <w:tcBorders>
              <w:top w:val="single" w:sz="8" w:color="0000EE"/>
            </w:tcBorders>
            <w:shd w:val="clear" w:color="auto" w:fill="DFE4EA"/>
          </w:tcPr>
          <w:p>
            <w:pPr>
              <w:spacing w:after="0"/>
              <w:rPr>
                <w:sz w:val="8"/>
                <w:szCs w:val="8"/>
                <w:color w:val="auto"/>
              </w:rPr>
            </w:pPr>
          </w:p>
        </w:tc>
        <w:tc>
          <w:tcPr>
            <w:tcW w:w="20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46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4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20" w:type="dxa"/>
            <w:vAlign w:val="bottom"/>
            <w:tcBorders>
              <w:top w:val="single" w:sz="8" w:color="0000EE"/>
            </w:tcBorders>
            <w:shd w:val="clear" w:color="auto" w:fill="DFE4EA"/>
          </w:tcPr>
          <w:p>
            <w:pPr>
              <w:spacing w:after="0"/>
              <w:rPr>
                <w:sz w:val="8"/>
                <w:szCs w:val="8"/>
                <w:color w:val="auto"/>
              </w:rPr>
            </w:pPr>
          </w:p>
        </w:tc>
        <w:tc>
          <w:tcPr>
            <w:tcW w:w="6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52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320" w:type="dxa"/>
            <w:vAlign w:val="bottom"/>
            <w:tcBorders>
              <w:top w:val="single" w:sz="8" w:color="0000EE"/>
            </w:tcBorders>
            <w:shd w:val="clear" w:color="auto" w:fill="DFE4EA"/>
          </w:tcPr>
          <w:p>
            <w:pPr>
              <w:spacing w:after="0"/>
              <w:rPr>
                <w:sz w:val="8"/>
                <w:szCs w:val="8"/>
                <w:color w:val="auto"/>
              </w:rPr>
            </w:pPr>
          </w:p>
        </w:tc>
        <w:tc>
          <w:tcPr>
            <w:tcW w:w="620" w:type="dxa"/>
            <w:vAlign w:val="bottom"/>
            <w:tcBorders>
              <w:top w:val="single" w:sz="8" w:color="0000EE"/>
            </w:tcBorders>
            <w:shd w:val="clear" w:color="auto" w:fill="DFE4EA"/>
          </w:tcPr>
          <w:p>
            <w:pPr>
              <w:spacing w:after="0"/>
              <w:rPr>
                <w:sz w:val="8"/>
                <w:szCs w:val="8"/>
                <w:color w:val="auto"/>
              </w:rPr>
            </w:pPr>
          </w:p>
        </w:tc>
        <w:tc>
          <w:tcPr>
            <w:tcW w:w="620" w:type="dxa"/>
            <w:vAlign w:val="bottom"/>
            <w:tcBorders>
              <w:top w:val="single" w:sz="8" w:color="0000EE"/>
            </w:tcBorders>
            <w:shd w:val="clear" w:color="auto" w:fill="DFE4EA"/>
          </w:tcPr>
          <w:p>
            <w:pPr>
              <w:spacing w:after="0"/>
              <w:rPr>
                <w:sz w:val="8"/>
                <w:szCs w:val="8"/>
                <w:color w:val="auto"/>
              </w:rPr>
            </w:pPr>
          </w:p>
        </w:tc>
        <w:tc>
          <w:tcPr>
            <w:tcW w:w="420" w:type="dxa"/>
            <w:vAlign w:val="bottom"/>
            <w:tcBorders>
              <w:top w:val="single" w:sz="8" w:color="0000EE"/>
            </w:tcBorders>
            <w:shd w:val="clear" w:color="auto" w:fill="DFE4EA"/>
          </w:tcPr>
          <w:p>
            <w:pPr>
              <w:spacing w:after="0"/>
              <w:rPr>
                <w:sz w:val="8"/>
                <w:szCs w:val="8"/>
                <w:color w:val="auto"/>
              </w:rPr>
            </w:pPr>
          </w:p>
        </w:tc>
        <w:tc>
          <w:tcPr>
            <w:tcW w:w="160" w:type="dxa"/>
            <w:vAlign w:val="bottom"/>
            <w:tcBorders>
              <w:top w:val="single" w:sz="8" w:color="0000EE"/>
            </w:tcBorders>
            <w:shd w:val="clear" w:color="auto" w:fill="DFE4EA"/>
          </w:tcPr>
          <w:p>
            <w:pPr>
              <w:spacing w:after="0"/>
              <w:rPr>
                <w:sz w:val="8"/>
                <w:szCs w:val="8"/>
                <w:color w:val="auto"/>
              </w:rPr>
            </w:pPr>
          </w:p>
        </w:tc>
        <w:tc>
          <w:tcPr>
            <w:tcW w:w="280" w:type="dxa"/>
            <w:vAlign w:val="bottom"/>
            <w:tcBorders>
              <w:top w:val="single" w:sz="8" w:color="DFE4EA"/>
            </w:tcBorders>
            <w:shd w:val="clear" w:color="auto" w:fill="DFE4EA"/>
          </w:tcPr>
          <w:p>
            <w:pPr>
              <w:spacing w:after="0"/>
              <w:rPr>
                <w:sz w:val="8"/>
                <w:szCs w:val="8"/>
                <w:color w:val="auto"/>
              </w:rPr>
            </w:pPr>
          </w:p>
        </w:tc>
        <w:tc>
          <w:tcPr>
            <w:tcW w:w="50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780" w:type="dxa"/>
            <w:vAlign w:val="bottom"/>
            <w:tcBorders>
              <w:top w:val="single" w:sz="8" w:color="DFE4EA"/>
            </w:tcBorders>
            <w:shd w:val="clear" w:color="auto" w:fill="DFE4EA"/>
          </w:tcPr>
          <w:p>
            <w:pPr>
              <w:spacing w:after="0"/>
              <w:rPr>
                <w:sz w:val="8"/>
                <w:szCs w:val="8"/>
                <w:color w:val="auto"/>
              </w:rPr>
            </w:pPr>
          </w:p>
        </w:tc>
        <w:tc>
          <w:tcPr>
            <w:tcW w:w="1340" w:type="dxa"/>
            <w:vAlign w:val="bottom"/>
            <w:tcBorders>
              <w:top w:val="single" w:sz="8" w:color="DFE4EA"/>
            </w:tcBorders>
            <w:shd w:val="clear" w:color="auto" w:fill="DFE4EA"/>
          </w:tcPr>
          <w:p>
            <w:pPr>
              <w:spacing w:after="0"/>
              <w:rPr>
                <w:sz w:val="8"/>
                <w:szCs w:val="8"/>
                <w:color w:val="auto"/>
              </w:rPr>
            </w:pPr>
          </w:p>
        </w:tc>
        <w:tc>
          <w:tcPr>
            <w:tcW w:w="24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760" w:type="dxa"/>
            <w:vAlign w:val="bottom"/>
            <w:tcBorders>
              <w:top w:val="single" w:sz="8" w:color="DFE4EA"/>
            </w:tcBorders>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tcPr>
          <w:p>
            <w:pPr>
              <w:spacing w:after="0"/>
              <w:rPr>
                <w:sz w:val="20"/>
                <w:szCs w:val="20"/>
                <w:color w:val="auto"/>
              </w:rPr>
            </w:pPr>
            <w:r>
              <w:rPr>
                <w:rFonts w:ascii="Arial" w:cs="Arial" w:eastAsia="Arial" w:hAnsi="Arial"/>
                <w:sz w:val="15"/>
                <w:szCs w:val="15"/>
                <w:color w:val="0000EE"/>
              </w:rPr>
              <w:t>AVAILABILITY OF CORPORATE GOVERNANCE DOCUMENTS</w:t>
            </w:r>
          </w:p>
        </w:tc>
        <w:tc>
          <w:tcPr>
            <w:tcW w:w="76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shd w:val="clear" w:color="auto" w:fill="DFE4EA"/>
          </w:tcPr>
          <w:p>
            <w:pPr>
              <w:spacing w:after="0"/>
              <w:rPr>
                <w:sz w:val="20"/>
                <w:szCs w:val="20"/>
                <w:color w:val="auto"/>
              </w:rPr>
            </w:pPr>
            <w:r>
              <w:rPr>
                <w:rFonts w:ascii="Arial" w:cs="Arial" w:eastAsia="Arial" w:hAnsi="Arial"/>
                <w:sz w:val="15"/>
                <w:szCs w:val="15"/>
                <w:color w:val="0000EE"/>
              </w:rPr>
              <w:t>DIRECTOR COMPENSATION</w:t>
            </w:r>
          </w:p>
        </w:tc>
        <w:tc>
          <w:tcPr>
            <w:tcW w:w="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shd w:val="clear" w:color="auto" w:fill="DFE4EA"/>
          </w:tcPr>
          <w:p>
            <w:pPr>
              <w:spacing w:after="0"/>
              <w:rPr>
                <w:sz w:val="8"/>
                <w:szCs w:val="8"/>
                <w:color w:val="auto"/>
              </w:rPr>
            </w:pPr>
          </w:p>
        </w:tc>
        <w:tc>
          <w:tcPr>
            <w:tcW w:w="1100" w:type="dxa"/>
            <w:vAlign w:val="bottom"/>
            <w:tcBorders>
              <w:top w:val="single" w:sz="8" w:color="0000EE"/>
            </w:tcBorders>
            <w:shd w:val="clear" w:color="auto" w:fill="DFE4EA"/>
          </w:tcPr>
          <w:p>
            <w:pPr>
              <w:spacing w:after="0"/>
              <w:rPr>
                <w:sz w:val="8"/>
                <w:szCs w:val="8"/>
                <w:color w:val="auto"/>
              </w:rPr>
            </w:pPr>
          </w:p>
        </w:tc>
        <w:tc>
          <w:tcPr>
            <w:tcW w:w="80" w:type="dxa"/>
            <w:vAlign w:val="bottom"/>
            <w:tcBorders>
              <w:top w:val="single" w:sz="8" w:color="0000EE"/>
            </w:tcBorders>
            <w:shd w:val="clear" w:color="auto" w:fill="DFE4EA"/>
          </w:tcPr>
          <w:p>
            <w:pPr>
              <w:spacing w:after="0"/>
              <w:rPr>
                <w:sz w:val="8"/>
                <w:szCs w:val="8"/>
                <w:color w:val="auto"/>
              </w:rPr>
            </w:pPr>
          </w:p>
        </w:tc>
        <w:tc>
          <w:tcPr>
            <w:tcW w:w="20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46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DFE4EA"/>
            </w:tcBorders>
            <w:shd w:val="clear" w:color="auto" w:fill="DFE4EA"/>
          </w:tcPr>
          <w:p>
            <w:pPr>
              <w:spacing w:after="0"/>
              <w:rPr>
                <w:sz w:val="8"/>
                <w:szCs w:val="8"/>
                <w:color w:val="auto"/>
              </w:rPr>
            </w:pPr>
          </w:p>
        </w:tc>
        <w:tc>
          <w:tcPr>
            <w:tcW w:w="140" w:type="dxa"/>
            <w:vAlign w:val="bottom"/>
            <w:tcBorders>
              <w:top w:val="single" w:sz="8" w:color="DFE4EA"/>
            </w:tcBorders>
            <w:shd w:val="clear" w:color="auto" w:fill="DFE4EA"/>
          </w:tcPr>
          <w:p>
            <w:pPr>
              <w:spacing w:after="0"/>
              <w:rPr>
                <w:sz w:val="8"/>
                <w:szCs w:val="8"/>
                <w:color w:val="auto"/>
              </w:rPr>
            </w:pPr>
          </w:p>
        </w:tc>
        <w:tc>
          <w:tcPr>
            <w:tcW w:w="180" w:type="dxa"/>
            <w:vAlign w:val="bottom"/>
            <w:tcBorders>
              <w:top w:val="single" w:sz="8" w:color="DFE4EA"/>
            </w:tcBorders>
            <w:shd w:val="clear" w:color="auto" w:fill="DFE4EA"/>
          </w:tcPr>
          <w:p>
            <w:pPr>
              <w:spacing w:after="0"/>
              <w:rPr>
                <w:sz w:val="8"/>
                <w:szCs w:val="8"/>
                <w:color w:val="auto"/>
              </w:rPr>
            </w:pPr>
          </w:p>
        </w:tc>
        <w:tc>
          <w:tcPr>
            <w:tcW w:w="120" w:type="dxa"/>
            <w:vAlign w:val="bottom"/>
            <w:tcBorders>
              <w:top w:val="single" w:sz="8" w:color="DFE4EA"/>
            </w:tcBorders>
            <w:shd w:val="clear" w:color="auto" w:fill="DFE4EA"/>
          </w:tcPr>
          <w:p>
            <w:pPr>
              <w:spacing w:after="0"/>
              <w:rPr>
                <w:sz w:val="8"/>
                <w:szCs w:val="8"/>
                <w:color w:val="auto"/>
              </w:rPr>
            </w:pPr>
          </w:p>
        </w:tc>
        <w:tc>
          <w:tcPr>
            <w:tcW w:w="60" w:type="dxa"/>
            <w:vAlign w:val="bottom"/>
            <w:tcBorders>
              <w:top w:val="single" w:sz="8" w:color="DFE4EA"/>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520" w:type="dxa"/>
            <w:vAlign w:val="bottom"/>
            <w:tcBorders>
              <w:top w:val="single" w:sz="8" w:color="DFE4EA"/>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42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280" w:type="dxa"/>
            <w:vAlign w:val="bottom"/>
            <w:tcBorders>
              <w:top w:val="single" w:sz="8" w:color="DFE4EA"/>
            </w:tcBorders>
            <w:shd w:val="clear" w:color="auto" w:fill="DFE4EA"/>
          </w:tcPr>
          <w:p>
            <w:pPr>
              <w:spacing w:after="0"/>
              <w:rPr>
                <w:sz w:val="8"/>
                <w:szCs w:val="8"/>
                <w:color w:val="auto"/>
              </w:rPr>
            </w:pPr>
          </w:p>
        </w:tc>
        <w:tc>
          <w:tcPr>
            <w:tcW w:w="50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780" w:type="dxa"/>
            <w:vAlign w:val="bottom"/>
            <w:tcBorders>
              <w:top w:val="single" w:sz="8" w:color="DFE4EA"/>
            </w:tcBorders>
            <w:shd w:val="clear" w:color="auto" w:fill="DFE4EA"/>
          </w:tcPr>
          <w:p>
            <w:pPr>
              <w:spacing w:after="0"/>
              <w:rPr>
                <w:sz w:val="8"/>
                <w:szCs w:val="8"/>
                <w:color w:val="auto"/>
              </w:rPr>
            </w:pPr>
          </w:p>
        </w:tc>
        <w:tc>
          <w:tcPr>
            <w:tcW w:w="1340" w:type="dxa"/>
            <w:vAlign w:val="bottom"/>
            <w:tcBorders>
              <w:top w:val="single" w:sz="8" w:color="DFE4EA"/>
            </w:tcBorders>
            <w:shd w:val="clear" w:color="auto" w:fill="DFE4EA"/>
          </w:tcPr>
          <w:p>
            <w:pPr>
              <w:spacing w:after="0"/>
              <w:rPr>
                <w:sz w:val="8"/>
                <w:szCs w:val="8"/>
                <w:color w:val="auto"/>
              </w:rPr>
            </w:pPr>
          </w:p>
        </w:tc>
        <w:tc>
          <w:tcPr>
            <w:tcW w:w="24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760" w:type="dxa"/>
            <w:vAlign w:val="bottom"/>
            <w:tcBorders>
              <w:top w:val="single" w:sz="8" w:color="DFE4EA"/>
            </w:tcBorders>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tcPr>
          <w:p>
            <w:pPr>
              <w:spacing w:after="0"/>
              <w:rPr>
                <w:sz w:val="20"/>
                <w:szCs w:val="20"/>
                <w:color w:val="auto"/>
              </w:rPr>
            </w:pPr>
            <w:r>
              <w:rPr>
                <w:rFonts w:ascii="Arial" w:cs="Arial" w:eastAsia="Arial" w:hAnsi="Arial"/>
                <w:sz w:val="15"/>
                <w:szCs w:val="15"/>
                <w:color w:val="0000EE"/>
              </w:rPr>
              <w:t>REPORT OF THE AUDIT COMMITTEE</w:t>
            </w:r>
          </w:p>
        </w:tc>
        <w:tc>
          <w:tcPr>
            <w:tcW w:w="76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shd w:val="clear" w:color="auto" w:fill="DFE4EA"/>
          </w:tcPr>
          <w:p>
            <w:pPr>
              <w:spacing w:after="0"/>
              <w:rPr>
                <w:sz w:val="20"/>
                <w:szCs w:val="20"/>
                <w:color w:val="auto"/>
              </w:rPr>
            </w:pPr>
            <w:r>
              <w:rPr>
                <w:rFonts w:ascii="Arial" w:cs="Arial" w:eastAsia="Arial" w:hAnsi="Arial"/>
                <w:sz w:val="15"/>
                <w:szCs w:val="15"/>
                <w:b w:val="1"/>
                <w:bCs w:val="1"/>
                <w:color w:val="0000EE"/>
              </w:rPr>
              <w:t>PROPOSAL TWO – ADVISORY VOTE ON EXECUTIVE OFFICER COMPENSATION</w:t>
            </w:r>
          </w:p>
        </w:tc>
        <w:tc>
          <w:tcPr>
            <w:tcW w:w="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shd w:val="clear" w:color="auto" w:fill="DFE4EA"/>
          </w:tcPr>
          <w:p>
            <w:pPr>
              <w:spacing w:after="0"/>
              <w:rPr>
                <w:sz w:val="8"/>
                <w:szCs w:val="8"/>
                <w:color w:val="auto"/>
              </w:rPr>
            </w:pPr>
          </w:p>
        </w:tc>
        <w:tc>
          <w:tcPr>
            <w:tcW w:w="1100" w:type="dxa"/>
            <w:vAlign w:val="bottom"/>
            <w:tcBorders>
              <w:top w:val="single" w:sz="8" w:color="0000EE"/>
            </w:tcBorders>
            <w:shd w:val="clear" w:color="auto" w:fill="DFE4EA"/>
          </w:tcPr>
          <w:p>
            <w:pPr>
              <w:spacing w:after="0"/>
              <w:rPr>
                <w:sz w:val="8"/>
                <w:szCs w:val="8"/>
                <w:color w:val="auto"/>
              </w:rPr>
            </w:pPr>
          </w:p>
        </w:tc>
        <w:tc>
          <w:tcPr>
            <w:tcW w:w="80" w:type="dxa"/>
            <w:vAlign w:val="bottom"/>
            <w:tcBorders>
              <w:top w:val="single" w:sz="8" w:color="0000EE"/>
            </w:tcBorders>
            <w:shd w:val="clear" w:color="auto" w:fill="DFE4EA"/>
          </w:tcPr>
          <w:p>
            <w:pPr>
              <w:spacing w:after="0"/>
              <w:rPr>
                <w:sz w:val="8"/>
                <w:szCs w:val="8"/>
                <w:color w:val="auto"/>
              </w:rPr>
            </w:pPr>
          </w:p>
        </w:tc>
        <w:tc>
          <w:tcPr>
            <w:tcW w:w="20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46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4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20" w:type="dxa"/>
            <w:vAlign w:val="bottom"/>
            <w:tcBorders>
              <w:top w:val="single" w:sz="8" w:color="0000EE"/>
            </w:tcBorders>
            <w:shd w:val="clear" w:color="auto" w:fill="DFE4EA"/>
          </w:tcPr>
          <w:p>
            <w:pPr>
              <w:spacing w:after="0"/>
              <w:rPr>
                <w:sz w:val="8"/>
                <w:szCs w:val="8"/>
                <w:color w:val="auto"/>
              </w:rPr>
            </w:pPr>
          </w:p>
        </w:tc>
        <w:tc>
          <w:tcPr>
            <w:tcW w:w="6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52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320" w:type="dxa"/>
            <w:vAlign w:val="bottom"/>
            <w:tcBorders>
              <w:top w:val="single" w:sz="8" w:color="0000EE"/>
            </w:tcBorders>
            <w:shd w:val="clear" w:color="auto" w:fill="DFE4EA"/>
          </w:tcPr>
          <w:p>
            <w:pPr>
              <w:spacing w:after="0"/>
              <w:rPr>
                <w:sz w:val="8"/>
                <w:szCs w:val="8"/>
                <w:color w:val="auto"/>
              </w:rPr>
            </w:pPr>
          </w:p>
        </w:tc>
        <w:tc>
          <w:tcPr>
            <w:tcW w:w="620" w:type="dxa"/>
            <w:vAlign w:val="bottom"/>
            <w:tcBorders>
              <w:top w:val="single" w:sz="8" w:color="0000EE"/>
            </w:tcBorders>
            <w:shd w:val="clear" w:color="auto" w:fill="DFE4EA"/>
          </w:tcPr>
          <w:p>
            <w:pPr>
              <w:spacing w:after="0"/>
              <w:rPr>
                <w:sz w:val="8"/>
                <w:szCs w:val="8"/>
                <w:color w:val="auto"/>
              </w:rPr>
            </w:pPr>
          </w:p>
        </w:tc>
        <w:tc>
          <w:tcPr>
            <w:tcW w:w="620" w:type="dxa"/>
            <w:vAlign w:val="bottom"/>
            <w:tcBorders>
              <w:top w:val="single" w:sz="8" w:color="0000EE"/>
            </w:tcBorders>
            <w:shd w:val="clear" w:color="auto" w:fill="DFE4EA"/>
          </w:tcPr>
          <w:p>
            <w:pPr>
              <w:spacing w:after="0"/>
              <w:rPr>
                <w:sz w:val="8"/>
                <w:szCs w:val="8"/>
                <w:color w:val="auto"/>
              </w:rPr>
            </w:pPr>
          </w:p>
        </w:tc>
        <w:tc>
          <w:tcPr>
            <w:tcW w:w="420" w:type="dxa"/>
            <w:vAlign w:val="bottom"/>
            <w:tcBorders>
              <w:top w:val="single" w:sz="8" w:color="0000EE"/>
            </w:tcBorders>
            <w:shd w:val="clear" w:color="auto" w:fill="DFE4EA"/>
          </w:tcPr>
          <w:p>
            <w:pPr>
              <w:spacing w:after="0"/>
              <w:rPr>
                <w:sz w:val="8"/>
                <w:szCs w:val="8"/>
                <w:color w:val="auto"/>
              </w:rPr>
            </w:pPr>
          </w:p>
        </w:tc>
        <w:tc>
          <w:tcPr>
            <w:tcW w:w="160" w:type="dxa"/>
            <w:vAlign w:val="bottom"/>
            <w:tcBorders>
              <w:top w:val="single" w:sz="8" w:color="0000EE"/>
            </w:tcBorders>
            <w:shd w:val="clear" w:color="auto" w:fill="DFE4EA"/>
          </w:tcPr>
          <w:p>
            <w:pPr>
              <w:spacing w:after="0"/>
              <w:rPr>
                <w:sz w:val="8"/>
                <w:szCs w:val="8"/>
                <w:color w:val="auto"/>
              </w:rPr>
            </w:pPr>
          </w:p>
        </w:tc>
        <w:tc>
          <w:tcPr>
            <w:tcW w:w="280" w:type="dxa"/>
            <w:vAlign w:val="bottom"/>
            <w:tcBorders>
              <w:top w:val="single" w:sz="8" w:color="0000EE"/>
            </w:tcBorders>
            <w:shd w:val="clear" w:color="auto" w:fill="DFE4EA"/>
          </w:tcPr>
          <w:p>
            <w:pPr>
              <w:spacing w:after="0"/>
              <w:rPr>
                <w:sz w:val="8"/>
                <w:szCs w:val="8"/>
                <w:color w:val="auto"/>
              </w:rPr>
            </w:pPr>
          </w:p>
        </w:tc>
        <w:tc>
          <w:tcPr>
            <w:tcW w:w="50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780" w:type="dxa"/>
            <w:vAlign w:val="bottom"/>
            <w:tcBorders>
              <w:top w:val="single" w:sz="8" w:color="DFE4EA"/>
            </w:tcBorders>
            <w:shd w:val="clear" w:color="auto" w:fill="DFE4EA"/>
          </w:tcPr>
          <w:p>
            <w:pPr>
              <w:spacing w:after="0"/>
              <w:rPr>
                <w:sz w:val="8"/>
                <w:szCs w:val="8"/>
                <w:color w:val="auto"/>
              </w:rPr>
            </w:pPr>
          </w:p>
        </w:tc>
        <w:tc>
          <w:tcPr>
            <w:tcW w:w="1340" w:type="dxa"/>
            <w:vAlign w:val="bottom"/>
            <w:tcBorders>
              <w:top w:val="single" w:sz="8" w:color="DFE4EA"/>
            </w:tcBorders>
            <w:shd w:val="clear" w:color="auto" w:fill="DFE4EA"/>
          </w:tcPr>
          <w:p>
            <w:pPr>
              <w:spacing w:after="0"/>
              <w:rPr>
                <w:sz w:val="8"/>
                <w:szCs w:val="8"/>
                <w:color w:val="auto"/>
              </w:rPr>
            </w:pPr>
          </w:p>
        </w:tc>
        <w:tc>
          <w:tcPr>
            <w:tcW w:w="24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760" w:type="dxa"/>
            <w:vAlign w:val="bottom"/>
            <w:tcBorders>
              <w:top w:val="single" w:sz="8" w:color="DFE4EA"/>
            </w:tcBorders>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tcPr>
          <w:p>
            <w:pPr>
              <w:spacing w:after="0"/>
              <w:rPr>
                <w:sz w:val="20"/>
                <w:szCs w:val="20"/>
                <w:color w:val="auto"/>
              </w:rPr>
            </w:pPr>
            <w:r>
              <w:rPr>
                <w:rFonts w:ascii="Arial" w:cs="Arial" w:eastAsia="Arial" w:hAnsi="Arial"/>
                <w:sz w:val="15"/>
                <w:szCs w:val="15"/>
                <w:color w:val="0000EE"/>
              </w:rPr>
              <w:t>COMPENSATION DISCUSSION AND ANALYSIS</w:t>
            </w:r>
          </w:p>
        </w:tc>
        <w:tc>
          <w:tcPr>
            <w:tcW w:w="760" w:type="dxa"/>
            <w:vAlign w:val="bottom"/>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shd w:val="clear" w:color="auto" w:fill="DFE4EA"/>
          </w:tcPr>
          <w:p>
            <w:pPr>
              <w:spacing w:after="0"/>
              <w:rPr>
                <w:sz w:val="20"/>
                <w:szCs w:val="20"/>
                <w:color w:val="auto"/>
              </w:rPr>
            </w:pPr>
            <w:r>
              <w:rPr>
                <w:rFonts w:ascii="Arial" w:cs="Arial" w:eastAsia="Arial" w:hAnsi="Arial"/>
                <w:sz w:val="15"/>
                <w:szCs w:val="15"/>
                <w:color w:val="0000EE"/>
              </w:rPr>
              <w:t>REPORT OF THE COMPENSATION COMMITTEE</w:t>
            </w:r>
          </w:p>
        </w:tc>
        <w:tc>
          <w:tcPr>
            <w:tcW w:w="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shd w:val="clear" w:color="auto" w:fill="DFE4EA"/>
          </w:tcPr>
          <w:p>
            <w:pPr>
              <w:spacing w:after="0"/>
              <w:rPr>
                <w:sz w:val="8"/>
                <w:szCs w:val="8"/>
                <w:color w:val="auto"/>
              </w:rPr>
            </w:pPr>
          </w:p>
        </w:tc>
        <w:tc>
          <w:tcPr>
            <w:tcW w:w="1100" w:type="dxa"/>
            <w:vAlign w:val="bottom"/>
            <w:tcBorders>
              <w:top w:val="single" w:sz="8" w:color="0000EE"/>
            </w:tcBorders>
            <w:shd w:val="clear" w:color="auto" w:fill="DFE4EA"/>
          </w:tcPr>
          <w:p>
            <w:pPr>
              <w:spacing w:after="0"/>
              <w:rPr>
                <w:sz w:val="8"/>
                <w:szCs w:val="8"/>
                <w:color w:val="auto"/>
              </w:rPr>
            </w:pPr>
          </w:p>
        </w:tc>
        <w:tc>
          <w:tcPr>
            <w:tcW w:w="80" w:type="dxa"/>
            <w:vAlign w:val="bottom"/>
            <w:tcBorders>
              <w:top w:val="single" w:sz="8" w:color="0000EE"/>
            </w:tcBorders>
            <w:shd w:val="clear" w:color="auto" w:fill="DFE4EA"/>
          </w:tcPr>
          <w:p>
            <w:pPr>
              <w:spacing w:after="0"/>
              <w:rPr>
                <w:sz w:val="8"/>
                <w:szCs w:val="8"/>
                <w:color w:val="auto"/>
              </w:rPr>
            </w:pPr>
          </w:p>
        </w:tc>
        <w:tc>
          <w:tcPr>
            <w:tcW w:w="20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46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4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20" w:type="dxa"/>
            <w:vAlign w:val="bottom"/>
            <w:tcBorders>
              <w:top w:val="single" w:sz="8" w:color="0000EE"/>
            </w:tcBorders>
            <w:shd w:val="clear" w:color="auto" w:fill="DFE4EA"/>
          </w:tcPr>
          <w:p>
            <w:pPr>
              <w:spacing w:after="0"/>
              <w:rPr>
                <w:sz w:val="8"/>
                <w:szCs w:val="8"/>
                <w:color w:val="auto"/>
              </w:rPr>
            </w:pPr>
          </w:p>
        </w:tc>
        <w:tc>
          <w:tcPr>
            <w:tcW w:w="6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52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42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280" w:type="dxa"/>
            <w:vAlign w:val="bottom"/>
            <w:tcBorders>
              <w:top w:val="single" w:sz="8" w:color="DFE4EA"/>
            </w:tcBorders>
            <w:shd w:val="clear" w:color="auto" w:fill="DFE4EA"/>
          </w:tcPr>
          <w:p>
            <w:pPr>
              <w:spacing w:after="0"/>
              <w:rPr>
                <w:sz w:val="8"/>
                <w:szCs w:val="8"/>
                <w:color w:val="auto"/>
              </w:rPr>
            </w:pPr>
          </w:p>
        </w:tc>
        <w:tc>
          <w:tcPr>
            <w:tcW w:w="50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780" w:type="dxa"/>
            <w:vAlign w:val="bottom"/>
            <w:tcBorders>
              <w:top w:val="single" w:sz="8" w:color="DFE4EA"/>
            </w:tcBorders>
            <w:shd w:val="clear" w:color="auto" w:fill="DFE4EA"/>
          </w:tcPr>
          <w:p>
            <w:pPr>
              <w:spacing w:after="0"/>
              <w:rPr>
                <w:sz w:val="8"/>
                <w:szCs w:val="8"/>
                <w:color w:val="auto"/>
              </w:rPr>
            </w:pPr>
          </w:p>
        </w:tc>
        <w:tc>
          <w:tcPr>
            <w:tcW w:w="1340" w:type="dxa"/>
            <w:vAlign w:val="bottom"/>
            <w:tcBorders>
              <w:top w:val="single" w:sz="8" w:color="DFE4EA"/>
            </w:tcBorders>
            <w:shd w:val="clear" w:color="auto" w:fill="DFE4EA"/>
          </w:tcPr>
          <w:p>
            <w:pPr>
              <w:spacing w:after="0"/>
              <w:rPr>
                <w:sz w:val="8"/>
                <w:szCs w:val="8"/>
                <w:color w:val="auto"/>
              </w:rPr>
            </w:pPr>
          </w:p>
        </w:tc>
        <w:tc>
          <w:tcPr>
            <w:tcW w:w="24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760" w:type="dxa"/>
            <w:vAlign w:val="bottom"/>
            <w:tcBorders>
              <w:top w:val="single" w:sz="8" w:color="DFE4EA"/>
            </w:tcBorders>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tcPr>
          <w:p>
            <w:pPr>
              <w:spacing w:after="0"/>
              <w:rPr>
                <w:sz w:val="20"/>
                <w:szCs w:val="20"/>
                <w:color w:val="auto"/>
              </w:rPr>
            </w:pPr>
            <w:r>
              <w:rPr>
                <w:rFonts w:ascii="Arial" w:cs="Arial" w:eastAsia="Arial" w:hAnsi="Arial"/>
                <w:sz w:val="15"/>
                <w:szCs w:val="15"/>
                <w:color w:val="0000EE"/>
              </w:rPr>
              <w:t>EXECUTIVE OFFICER COMPENSATION</w:t>
            </w:r>
          </w:p>
        </w:tc>
        <w:tc>
          <w:tcPr>
            <w:tcW w:w="760" w:type="dxa"/>
            <w:vAlign w:val="bottom"/>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shd w:val="clear" w:color="auto" w:fill="DFE4EA"/>
          </w:tcPr>
          <w:p>
            <w:pPr>
              <w:spacing w:after="0"/>
              <w:rPr>
                <w:sz w:val="20"/>
                <w:szCs w:val="20"/>
                <w:color w:val="auto"/>
              </w:rPr>
            </w:pPr>
            <w:r>
              <w:rPr>
                <w:rFonts w:ascii="Arial" w:cs="Arial" w:eastAsia="Arial" w:hAnsi="Arial"/>
                <w:sz w:val="15"/>
                <w:szCs w:val="15"/>
                <w:color w:val="0000EE"/>
              </w:rPr>
              <w:t>CERTAIN BENEFICIAL OWNERSHIP</w:t>
            </w:r>
          </w:p>
        </w:tc>
        <w:tc>
          <w:tcPr>
            <w:tcW w:w="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shd w:val="clear" w:color="auto" w:fill="DFE4EA"/>
          </w:tcPr>
          <w:p>
            <w:pPr>
              <w:spacing w:after="0"/>
              <w:rPr>
                <w:sz w:val="8"/>
                <w:szCs w:val="8"/>
                <w:color w:val="auto"/>
              </w:rPr>
            </w:pPr>
          </w:p>
        </w:tc>
        <w:tc>
          <w:tcPr>
            <w:tcW w:w="1100" w:type="dxa"/>
            <w:vAlign w:val="bottom"/>
            <w:tcBorders>
              <w:top w:val="single" w:sz="8" w:color="0000EE"/>
            </w:tcBorders>
            <w:shd w:val="clear" w:color="auto" w:fill="DFE4EA"/>
          </w:tcPr>
          <w:p>
            <w:pPr>
              <w:spacing w:after="0"/>
              <w:rPr>
                <w:sz w:val="8"/>
                <w:szCs w:val="8"/>
                <w:color w:val="auto"/>
              </w:rPr>
            </w:pPr>
          </w:p>
        </w:tc>
        <w:tc>
          <w:tcPr>
            <w:tcW w:w="80" w:type="dxa"/>
            <w:vAlign w:val="bottom"/>
            <w:tcBorders>
              <w:top w:val="single" w:sz="8" w:color="0000EE"/>
            </w:tcBorders>
            <w:shd w:val="clear" w:color="auto" w:fill="DFE4EA"/>
          </w:tcPr>
          <w:p>
            <w:pPr>
              <w:spacing w:after="0"/>
              <w:rPr>
                <w:sz w:val="8"/>
                <w:szCs w:val="8"/>
                <w:color w:val="auto"/>
              </w:rPr>
            </w:pPr>
          </w:p>
        </w:tc>
        <w:tc>
          <w:tcPr>
            <w:tcW w:w="20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46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4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20" w:type="dxa"/>
            <w:vAlign w:val="bottom"/>
            <w:tcBorders>
              <w:top w:val="single" w:sz="8" w:color="DFE4EA"/>
            </w:tcBorders>
            <w:shd w:val="clear" w:color="auto" w:fill="DFE4EA"/>
          </w:tcPr>
          <w:p>
            <w:pPr>
              <w:spacing w:after="0"/>
              <w:rPr>
                <w:sz w:val="8"/>
                <w:szCs w:val="8"/>
                <w:color w:val="auto"/>
              </w:rPr>
            </w:pPr>
          </w:p>
        </w:tc>
        <w:tc>
          <w:tcPr>
            <w:tcW w:w="60" w:type="dxa"/>
            <w:vAlign w:val="bottom"/>
            <w:tcBorders>
              <w:top w:val="single" w:sz="8" w:color="DFE4EA"/>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520" w:type="dxa"/>
            <w:vAlign w:val="bottom"/>
            <w:tcBorders>
              <w:top w:val="single" w:sz="8" w:color="DFE4EA"/>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42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280" w:type="dxa"/>
            <w:vAlign w:val="bottom"/>
            <w:tcBorders>
              <w:top w:val="single" w:sz="8" w:color="DFE4EA"/>
            </w:tcBorders>
            <w:shd w:val="clear" w:color="auto" w:fill="DFE4EA"/>
          </w:tcPr>
          <w:p>
            <w:pPr>
              <w:spacing w:after="0"/>
              <w:rPr>
                <w:sz w:val="8"/>
                <w:szCs w:val="8"/>
                <w:color w:val="auto"/>
              </w:rPr>
            </w:pPr>
          </w:p>
        </w:tc>
        <w:tc>
          <w:tcPr>
            <w:tcW w:w="50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780" w:type="dxa"/>
            <w:vAlign w:val="bottom"/>
            <w:tcBorders>
              <w:top w:val="single" w:sz="8" w:color="DFE4EA"/>
            </w:tcBorders>
            <w:shd w:val="clear" w:color="auto" w:fill="DFE4EA"/>
          </w:tcPr>
          <w:p>
            <w:pPr>
              <w:spacing w:after="0"/>
              <w:rPr>
                <w:sz w:val="8"/>
                <w:szCs w:val="8"/>
                <w:color w:val="auto"/>
              </w:rPr>
            </w:pPr>
          </w:p>
        </w:tc>
        <w:tc>
          <w:tcPr>
            <w:tcW w:w="1340" w:type="dxa"/>
            <w:vAlign w:val="bottom"/>
            <w:tcBorders>
              <w:top w:val="single" w:sz="8" w:color="DFE4EA"/>
            </w:tcBorders>
            <w:shd w:val="clear" w:color="auto" w:fill="DFE4EA"/>
          </w:tcPr>
          <w:p>
            <w:pPr>
              <w:spacing w:after="0"/>
              <w:rPr>
                <w:sz w:val="8"/>
                <w:szCs w:val="8"/>
                <w:color w:val="auto"/>
              </w:rPr>
            </w:pPr>
          </w:p>
        </w:tc>
        <w:tc>
          <w:tcPr>
            <w:tcW w:w="24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760" w:type="dxa"/>
            <w:vAlign w:val="bottom"/>
            <w:tcBorders>
              <w:top w:val="single" w:sz="8" w:color="DFE4EA"/>
            </w:tcBorders>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tcPr>
          <w:p>
            <w:pPr>
              <w:spacing w:after="0"/>
              <w:rPr>
                <w:sz w:val="20"/>
                <w:szCs w:val="20"/>
                <w:color w:val="auto"/>
              </w:rPr>
            </w:pPr>
            <w:r>
              <w:rPr>
                <w:rFonts w:ascii="Arial" w:cs="Arial" w:eastAsia="Arial" w:hAnsi="Arial"/>
                <w:sz w:val="15"/>
                <w:szCs w:val="15"/>
                <w:b w:val="1"/>
                <w:bCs w:val="1"/>
                <w:color w:val="0000EE"/>
              </w:rPr>
              <w:t>PROPOSAL THREE – RATIFICATION OF THE PRELIMINARY APPROVAL OF THE INDEPENDENT REGISTERED PUBLIC</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54"/>
        </w:trPr>
        <w:tc>
          <w:tcPr>
            <w:tcW w:w="160" w:type="dxa"/>
            <w:vAlign w:val="bottom"/>
            <w:tcBorders>
              <w:top w:val="single" w:sz="8" w:color="0000EE"/>
            </w:tcBorders>
          </w:tcPr>
          <w:p>
            <w:pPr>
              <w:spacing w:after="0"/>
              <w:rPr>
                <w:sz w:val="13"/>
                <w:szCs w:val="13"/>
                <w:color w:val="auto"/>
              </w:rPr>
            </w:pPr>
          </w:p>
        </w:tc>
        <w:tc>
          <w:tcPr>
            <w:tcW w:w="8540" w:type="dxa"/>
            <w:vAlign w:val="bottom"/>
            <w:tcBorders>
              <w:top w:val="single" w:sz="8" w:color="0000EE"/>
            </w:tcBorders>
            <w:gridSpan w:val="23"/>
          </w:tcPr>
          <w:p>
            <w:pPr>
              <w:spacing w:after="0" w:line="154" w:lineRule="exact"/>
              <w:rPr>
                <w:sz w:val="20"/>
                <w:szCs w:val="20"/>
                <w:color w:val="auto"/>
              </w:rPr>
            </w:pPr>
            <w:r>
              <w:rPr>
                <w:rFonts w:ascii="Arial" w:cs="Arial" w:eastAsia="Arial" w:hAnsi="Arial"/>
                <w:sz w:val="15"/>
                <w:szCs w:val="15"/>
                <w:b w:val="1"/>
                <w:bCs w:val="1"/>
                <w:color w:val="0000EE"/>
              </w:rPr>
              <w:t>ACCOUNTING FIRM</w:t>
            </w:r>
          </w:p>
        </w:tc>
        <w:tc>
          <w:tcPr>
            <w:tcW w:w="560" w:type="dxa"/>
            <w:vAlign w:val="bottom"/>
            <w:gridSpan w:val="2"/>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60" w:type="dxa"/>
            <w:vAlign w:val="bottom"/>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shd w:val="clear" w:color="auto" w:fill="DFE4EA"/>
          </w:tcPr>
          <w:p>
            <w:pPr>
              <w:spacing w:after="0"/>
              <w:rPr>
                <w:sz w:val="20"/>
                <w:szCs w:val="20"/>
                <w:color w:val="auto"/>
              </w:rPr>
            </w:pPr>
            <w:r>
              <w:rPr>
                <w:rFonts w:ascii="Arial" w:cs="Arial" w:eastAsia="Arial" w:hAnsi="Arial"/>
                <w:sz w:val="15"/>
                <w:szCs w:val="15"/>
                <w:color w:val="0000EE"/>
              </w:rPr>
              <w:t>HOUSEHOLDING</w:t>
            </w:r>
          </w:p>
        </w:tc>
        <w:tc>
          <w:tcPr>
            <w:tcW w:w="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shd w:val="clear" w:color="auto" w:fill="DFE4EA"/>
          </w:tcPr>
          <w:p>
            <w:pPr>
              <w:spacing w:after="0"/>
              <w:rPr>
                <w:sz w:val="8"/>
                <w:szCs w:val="8"/>
                <w:color w:val="auto"/>
              </w:rPr>
            </w:pPr>
          </w:p>
        </w:tc>
        <w:tc>
          <w:tcPr>
            <w:tcW w:w="1100" w:type="dxa"/>
            <w:vAlign w:val="bottom"/>
            <w:tcBorders>
              <w:top w:val="single" w:sz="8" w:color="0000EE"/>
            </w:tcBorders>
            <w:shd w:val="clear" w:color="auto" w:fill="DFE4EA"/>
          </w:tcPr>
          <w:p>
            <w:pPr>
              <w:spacing w:after="0"/>
              <w:rPr>
                <w:sz w:val="8"/>
                <w:szCs w:val="8"/>
                <w:color w:val="auto"/>
              </w:rPr>
            </w:pPr>
          </w:p>
        </w:tc>
        <w:tc>
          <w:tcPr>
            <w:tcW w:w="80" w:type="dxa"/>
            <w:vAlign w:val="bottom"/>
            <w:tcBorders>
              <w:top w:val="single" w:sz="8" w:color="DFE4EA"/>
            </w:tcBorders>
            <w:shd w:val="clear" w:color="auto" w:fill="DFE4EA"/>
          </w:tcPr>
          <w:p>
            <w:pPr>
              <w:spacing w:after="0"/>
              <w:rPr>
                <w:sz w:val="8"/>
                <w:szCs w:val="8"/>
                <w:color w:val="auto"/>
              </w:rPr>
            </w:pPr>
          </w:p>
        </w:tc>
        <w:tc>
          <w:tcPr>
            <w:tcW w:w="200" w:type="dxa"/>
            <w:vAlign w:val="bottom"/>
            <w:tcBorders>
              <w:top w:val="single" w:sz="8" w:color="DFE4EA"/>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460" w:type="dxa"/>
            <w:vAlign w:val="bottom"/>
            <w:tcBorders>
              <w:top w:val="single" w:sz="8" w:color="DFE4EA"/>
            </w:tcBorders>
            <w:shd w:val="clear" w:color="auto" w:fill="DFE4EA"/>
          </w:tcPr>
          <w:p>
            <w:pPr>
              <w:spacing w:after="0"/>
              <w:rPr>
                <w:sz w:val="8"/>
                <w:szCs w:val="8"/>
                <w:color w:val="auto"/>
              </w:rPr>
            </w:pPr>
          </w:p>
        </w:tc>
        <w:tc>
          <w:tcPr>
            <w:tcW w:w="180" w:type="dxa"/>
            <w:vAlign w:val="bottom"/>
            <w:tcBorders>
              <w:top w:val="single" w:sz="8" w:color="DFE4EA"/>
            </w:tcBorders>
            <w:shd w:val="clear" w:color="auto" w:fill="DFE4EA"/>
          </w:tcPr>
          <w:p>
            <w:pPr>
              <w:spacing w:after="0"/>
              <w:rPr>
                <w:sz w:val="8"/>
                <w:szCs w:val="8"/>
                <w:color w:val="auto"/>
              </w:rPr>
            </w:pPr>
          </w:p>
        </w:tc>
        <w:tc>
          <w:tcPr>
            <w:tcW w:w="140" w:type="dxa"/>
            <w:vAlign w:val="bottom"/>
            <w:tcBorders>
              <w:top w:val="single" w:sz="8" w:color="DFE4EA"/>
            </w:tcBorders>
            <w:shd w:val="clear" w:color="auto" w:fill="DFE4EA"/>
          </w:tcPr>
          <w:p>
            <w:pPr>
              <w:spacing w:after="0"/>
              <w:rPr>
                <w:sz w:val="8"/>
                <w:szCs w:val="8"/>
                <w:color w:val="auto"/>
              </w:rPr>
            </w:pPr>
          </w:p>
        </w:tc>
        <w:tc>
          <w:tcPr>
            <w:tcW w:w="180" w:type="dxa"/>
            <w:vAlign w:val="bottom"/>
            <w:tcBorders>
              <w:top w:val="single" w:sz="8" w:color="DFE4EA"/>
            </w:tcBorders>
            <w:shd w:val="clear" w:color="auto" w:fill="DFE4EA"/>
          </w:tcPr>
          <w:p>
            <w:pPr>
              <w:spacing w:after="0"/>
              <w:rPr>
                <w:sz w:val="8"/>
                <w:szCs w:val="8"/>
                <w:color w:val="auto"/>
              </w:rPr>
            </w:pPr>
          </w:p>
        </w:tc>
        <w:tc>
          <w:tcPr>
            <w:tcW w:w="120" w:type="dxa"/>
            <w:vAlign w:val="bottom"/>
            <w:tcBorders>
              <w:top w:val="single" w:sz="8" w:color="DFE4EA"/>
            </w:tcBorders>
            <w:shd w:val="clear" w:color="auto" w:fill="DFE4EA"/>
          </w:tcPr>
          <w:p>
            <w:pPr>
              <w:spacing w:after="0"/>
              <w:rPr>
                <w:sz w:val="8"/>
                <w:szCs w:val="8"/>
                <w:color w:val="auto"/>
              </w:rPr>
            </w:pPr>
          </w:p>
        </w:tc>
        <w:tc>
          <w:tcPr>
            <w:tcW w:w="60" w:type="dxa"/>
            <w:vAlign w:val="bottom"/>
            <w:tcBorders>
              <w:top w:val="single" w:sz="8" w:color="DFE4EA"/>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520" w:type="dxa"/>
            <w:vAlign w:val="bottom"/>
            <w:tcBorders>
              <w:top w:val="single" w:sz="8" w:color="DFE4EA"/>
            </w:tcBorders>
            <w:shd w:val="clear" w:color="auto" w:fill="DFE4EA"/>
          </w:tcPr>
          <w:p>
            <w:pPr>
              <w:spacing w:after="0"/>
              <w:rPr>
                <w:sz w:val="8"/>
                <w:szCs w:val="8"/>
                <w:color w:val="auto"/>
              </w:rPr>
            </w:pPr>
          </w:p>
        </w:tc>
        <w:tc>
          <w:tcPr>
            <w:tcW w:w="10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42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280" w:type="dxa"/>
            <w:vAlign w:val="bottom"/>
            <w:tcBorders>
              <w:top w:val="single" w:sz="8" w:color="DFE4EA"/>
            </w:tcBorders>
            <w:shd w:val="clear" w:color="auto" w:fill="DFE4EA"/>
          </w:tcPr>
          <w:p>
            <w:pPr>
              <w:spacing w:after="0"/>
              <w:rPr>
                <w:sz w:val="8"/>
                <w:szCs w:val="8"/>
                <w:color w:val="auto"/>
              </w:rPr>
            </w:pPr>
          </w:p>
        </w:tc>
        <w:tc>
          <w:tcPr>
            <w:tcW w:w="50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780" w:type="dxa"/>
            <w:vAlign w:val="bottom"/>
            <w:tcBorders>
              <w:top w:val="single" w:sz="8" w:color="DFE4EA"/>
            </w:tcBorders>
            <w:shd w:val="clear" w:color="auto" w:fill="DFE4EA"/>
          </w:tcPr>
          <w:p>
            <w:pPr>
              <w:spacing w:after="0"/>
              <w:rPr>
                <w:sz w:val="8"/>
                <w:szCs w:val="8"/>
                <w:color w:val="auto"/>
              </w:rPr>
            </w:pPr>
          </w:p>
        </w:tc>
        <w:tc>
          <w:tcPr>
            <w:tcW w:w="1340" w:type="dxa"/>
            <w:vAlign w:val="bottom"/>
            <w:tcBorders>
              <w:top w:val="single" w:sz="8" w:color="DFE4EA"/>
            </w:tcBorders>
            <w:shd w:val="clear" w:color="auto" w:fill="DFE4EA"/>
          </w:tcPr>
          <w:p>
            <w:pPr>
              <w:spacing w:after="0"/>
              <w:rPr>
                <w:sz w:val="8"/>
                <w:szCs w:val="8"/>
                <w:color w:val="auto"/>
              </w:rPr>
            </w:pPr>
          </w:p>
        </w:tc>
        <w:tc>
          <w:tcPr>
            <w:tcW w:w="24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760" w:type="dxa"/>
            <w:vAlign w:val="bottom"/>
            <w:tcBorders>
              <w:top w:val="single" w:sz="8" w:color="DFE4EA"/>
            </w:tcBorders>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tcPr>
          <w:p>
            <w:pPr>
              <w:spacing w:after="0"/>
              <w:rPr>
                <w:sz w:val="20"/>
                <w:szCs w:val="20"/>
                <w:color w:val="auto"/>
              </w:rPr>
            </w:pPr>
            <w:r>
              <w:rPr>
                <w:rFonts w:ascii="Arial" w:cs="Arial" w:eastAsia="Arial" w:hAnsi="Arial"/>
                <w:sz w:val="15"/>
                <w:szCs w:val="15"/>
                <w:color w:val="0000EE"/>
              </w:rPr>
              <w:t>TRANSACTION OF OTHER BUSINESS</w:t>
            </w:r>
          </w:p>
        </w:tc>
        <w:tc>
          <w:tcPr>
            <w:tcW w:w="760" w:type="dxa"/>
            <w:vAlign w:val="bottom"/>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9260" w:type="dxa"/>
            <w:vAlign w:val="bottom"/>
            <w:gridSpan w:val="26"/>
            <w:shd w:val="clear" w:color="auto" w:fill="DFE4EA"/>
          </w:tcPr>
          <w:p>
            <w:pPr>
              <w:spacing w:after="0"/>
              <w:rPr>
                <w:sz w:val="20"/>
                <w:szCs w:val="20"/>
                <w:color w:val="auto"/>
              </w:rPr>
            </w:pPr>
            <w:r>
              <w:rPr>
                <w:rFonts w:ascii="Arial" w:cs="Arial" w:eastAsia="Arial" w:hAnsi="Arial"/>
                <w:sz w:val="15"/>
                <w:szCs w:val="15"/>
                <w:color w:val="0000EE"/>
              </w:rPr>
              <w:t>WHERE YOU CAN FIND ADDITIONAL INFORMATION</w:t>
            </w:r>
          </w:p>
        </w:tc>
        <w:tc>
          <w:tcPr>
            <w:tcW w:w="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96"/>
        </w:trPr>
        <w:tc>
          <w:tcPr>
            <w:tcW w:w="160" w:type="dxa"/>
            <w:vAlign w:val="bottom"/>
            <w:tcBorders>
              <w:top w:val="single" w:sz="8" w:color="0000EE"/>
            </w:tcBorders>
            <w:shd w:val="clear" w:color="auto" w:fill="DFE4EA"/>
          </w:tcPr>
          <w:p>
            <w:pPr>
              <w:spacing w:after="0"/>
              <w:rPr>
                <w:sz w:val="8"/>
                <w:szCs w:val="8"/>
                <w:color w:val="auto"/>
              </w:rPr>
            </w:pPr>
          </w:p>
        </w:tc>
        <w:tc>
          <w:tcPr>
            <w:tcW w:w="1100" w:type="dxa"/>
            <w:vAlign w:val="bottom"/>
            <w:tcBorders>
              <w:top w:val="single" w:sz="8" w:color="0000EE"/>
            </w:tcBorders>
            <w:shd w:val="clear" w:color="auto" w:fill="DFE4EA"/>
          </w:tcPr>
          <w:p>
            <w:pPr>
              <w:spacing w:after="0"/>
              <w:rPr>
                <w:sz w:val="8"/>
                <w:szCs w:val="8"/>
                <w:color w:val="auto"/>
              </w:rPr>
            </w:pPr>
          </w:p>
        </w:tc>
        <w:tc>
          <w:tcPr>
            <w:tcW w:w="80" w:type="dxa"/>
            <w:vAlign w:val="bottom"/>
            <w:tcBorders>
              <w:top w:val="single" w:sz="8" w:color="0000EE"/>
            </w:tcBorders>
            <w:shd w:val="clear" w:color="auto" w:fill="DFE4EA"/>
          </w:tcPr>
          <w:p>
            <w:pPr>
              <w:spacing w:after="0"/>
              <w:rPr>
                <w:sz w:val="8"/>
                <w:szCs w:val="8"/>
                <w:color w:val="auto"/>
              </w:rPr>
            </w:pPr>
          </w:p>
        </w:tc>
        <w:tc>
          <w:tcPr>
            <w:tcW w:w="20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46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40" w:type="dxa"/>
            <w:vAlign w:val="bottom"/>
            <w:tcBorders>
              <w:top w:val="single" w:sz="8" w:color="0000EE"/>
            </w:tcBorders>
            <w:shd w:val="clear" w:color="auto" w:fill="DFE4EA"/>
          </w:tcPr>
          <w:p>
            <w:pPr>
              <w:spacing w:after="0"/>
              <w:rPr>
                <w:sz w:val="8"/>
                <w:szCs w:val="8"/>
                <w:color w:val="auto"/>
              </w:rPr>
            </w:pPr>
          </w:p>
        </w:tc>
        <w:tc>
          <w:tcPr>
            <w:tcW w:w="180" w:type="dxa"/>
            <w:vAlign w:val="bottom"/>
            <w:tcBorders>
              <w:top w:val="single" w:sz="8" w:color="0000EE"/>
            </w:tcBorders>
            <w:shd w:val="clear" w:color="auto" w:fill="DFE4EA"/>
          </w:tcPr>
          <w:p>
            <w:pPr>
              <w:spacing w:after="0"/>
              <w:rPr>
                <w:sz w:val="8"/>
                <w:szCs w:val="8"/>
                <w:color w:val="auto"/>
              </w:rPr>
            </w:pPr>
          </w:p>
        </w:tc>
        <w:tc>
          <w:tcPr>
            <w:tcW w:w="120" w:type="dxa"/>
            <w:vAlign w:val="bottom"/>
            <w:tcBorders>
              <w:top w:val="single" w:sz="8" w:color="0000EE"/>
            </w:tcBorders>
            <w:shd w:val="clear" w:color="auto" w:fill="DFE4EA"/>
          </w:tcPr>
          <w:p>
            <w:pPr>
              <w:spacing w:after="0"/>
              <w:rPr>
                <w:sz w:val="8"/>
                <w:szCs w:val="8"/>
                <w:color w:val="auto"/>
              </w:rPr>
            </w:pPr>
          </w:p>
        </w:tc>
        <w:tc>
          <w:tcPr>
            <w:tcW w:w="6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520" w:type="dxa"/>
            <w:vAlign w:val="bottom"/>
            <w:tcBorders>
              <w:top w:val="single" w:sz="8" w:color="0000EE"/>
            </w:tcBorders>
            <w:shd w:val="clear" w:color="auto" w:fill="DFE4EA"/>
          </w:tcPr>
          <w:p>
            <w:pPr>
              <w:spacing w:after="0"/>
              <w:rPr>
                <w:sz w:val="8"/>
                <w:szCs w:val="8"/>
                <w:color w:val="auto"/>
              </w:rPr>
            </w:pPr>
          </w:p>
        </w:tc>
        <w:tc>
          <w:tcPr>
            <w:tcW w:w="100" w:type="dxa"/>
            <w:vAlign w:val="bottom"/>
            <w:tcBorders>
              <w:top w:val="single" w:sz="8" w:color="0000EE"/>
            </w:tcBorders>
            <w:shd w:val="clear" w:color="auto" w:fill="DFE4EA"/>
          </w:tcPr>
          <w:p>
            <w:pPr>
              <w:spacing w:after="0"/>
              <w:rPr>
                <w:sz w:val="8"/>
                <w:szCs w:val="8"/>
                <w:color w:val="auto"/>
              </w:rPr>
            </w:pPr>
          </w:p>
        </w:tc>
        <w:tc>
          <w:tcPr>
            <w:tcW w:w="320" w:type="dxa"/>
            <w:vAlign w:val="bottom"/>
            <w:tcBorders>
              <w:top w:val="single" w:sz="8" w:color="0000EE"/>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620" w:type="dxa"/>
            <w:vAlign w:val="bottom"/>
            <w:tcBorders>
              <w:top w:val="single" w:sz="8" w:color="DFE4EA"/>
            </w:tcBorders>
            <w:shd w:val="clear" w:color="auto" w:fill="DFE4EA"/>
          </w:tcPr>
          <w:p>
            <w:pPr>
              <w:spacing w:after="0"/>
              <w:rPr>
                <w:sz w:val="8"/>
                <w:szCs w:val="8"/>
                <w:color w:val="auto"/>
              </w:rPr>
            </w:pPr>
          </w:p>
        </w:tc>
        <w:tc>
          <w:tcPr>
            <w:tcW w:w="42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280" w:type="dxa"/>
            <w:vAlign w:val="bottom"/>
            <w:tcBorders>
              <w:top w:val="single" w:sz="8" w:color="DFE4EA"/>
            </w:tcBorders>
            <w:shd w:val="clear" w:color="auto" w:fill="DFE4EA"/>
          </w:tcPr>
          <w:p>
            <w:pPr>
              <w:spacing w:after="0"/>
              <w:rPr>
                <w:sz w:val="8"/>
                <w:szCs w:val="8"/>
                <w:color w:val="auto"/>
              </w:rPr>
            </w:pPr>
          </w:p>
        </w:tc>
        <w:tc>
          <w:tcPr>
            <w:tcW w:w="500" w:type="dxa"/>
            <w:vAlign w:val="bottom"/>
            <w:tcBorders>
              <w:top w:val="single" w:sz="8" w:color="DFE4EA"/>
            </w:tcBorders>
            <w:shd w:val="clear" w:color="auto" w:fill="DFE4EA"/>
          </w:tcPr>
          <w:p>
            <w:pPr>
              <w:spacing w:after="0"/>
              <w:rPr>
                <w:sz w:val="8"/>
                <w:szCs w:val="8"/>
                <w:color w:val="auto"/>
              </w:rPr>
            </w:pPr>
          </w:p>
        </w:tc>
        <w:tc>
          <w:tcPr>
            <w:tcW w:w="160" w:type="dxa"/>
            <w:vAlign w:val="bottom"/>
            <w:tcBorders>
              <w:top w:val="single" w:sz="8" w:color="DFE4EA"/>
            </w:tcBorders>
            <w:shd w:val="clear" w:color="auto" w:fill="DFE4EA"/>
          </w:tcPr>
          <w:p>
            <w:pPr>
              <w:spacing w:after="0"/>
              <w:rPr>
                <w:sz w:val="8"/>
                <w:szCs w:val="8"/>
                <w:color w:val="auto"/>
              </w:rPr>
            </w:pPr>
          </w:p>
        </w:tc>
        <w:tc>
          <w:tcPr>
            <w:tcW w:w="780" w:type="dxa"/>
            <w:vAlign w:val="bottom"/>
            <w:tcBorders>
              <w:top w:val="single" w:sz="8" w:color="DFE4EA"/>
            </w:tcBorders>
            <w:shd w:val="clear" w:color="auto" w:fill="DFE4EA"/>
          </w:tcPr>
          <w:p>
            <w:pPr>
              <w:spacing w:after="0"/>
              <w:rPr>
                <w:sz w:val="8"/>
                <w:szCs w:val="8"/>
                <w:color w:val="auto"/>
              </w:rPr>
            </w:pPr>
          </w:p>
        </w:tc>
        <w:tc>
          <w:tcPr>
            <w:tcW w:w="1340" w:type="dxa"/>
            <w:vAlign w:val="bottom"/>
            <w:tcBorders>
              <w:top w:val="single" w:sz="8" w:color="DFE4EA"/>
            </w:tcBorders>
            <w:shd w:val="clear" w:color="auto" w:fill="DFE4EA"/>
          </w:tcPr>
          <w:p>
            <w:pPr>
              <w:spacing w:after="0"/>
              <w:rPr>
                <w:sz w:val="8"/>
                <w:szCs w:val="8"/>
                <w:color w:val="auto"/>
              </w:rPr>
            </w:pPr>
          </w:p>
        </w:tc>
        <w:tc>
          <w:tcPr>
            <w:tcW w:w="240" w:type="dxa"/>
            <w:vAlign w:val="bottom"/>
            <w:tcBorders>
              <w:top w:val="single" w:sz="8" w:color="DFE4EA"/>
            </w:tcBorders>
            <w:shd w:val="clear" w:color="auto" w:fill="DFE4EA"/>
          </w:tcPr>
          <w:p>
            <w:pPr>
              <w:spacing w:after="0"/>
              <w:rPr>
                <w:sz w:val="8"/>
                <w:szCs w:val="8"/>
                <w:color w:val="auto"/>
              </w:rPr>
            </w:pPr>
          </w:p>
        </w:tc>
        <w:tc>
          <w:tcPr>
            <w:tcW w:w="320" w:type="dxa"/>
            <w:vAlign w:val="bottom"/>
            <w:tcBorders>
              <w:top w:val="single" w:sz="8" w:color="DFE4EA"/>
            </w:tcBorders>
            <w:shd w:val="clear" w:color="auto" w:fill="DFE4EA"/>
          </w:tcPr>
          <w:p>
            <w:pPr>
              <w:spacing w:after="0"/>
              <w:rPr>
                <w:sz w:val="8"/>
                <w:szCs w:val="8"/>
                <w:color w:val="auto"/>
              </w:rPr>
            </w:pPr>
          </w:p>
        </w:tc>
        <w:tc>
          <w:tcPr>
            <w:tcW w:w="760" w:type="dxa"/>
            <w:vAlign w:val="bottom"/>
            <w:tcBorders>
              <w:top w:val="single" w:sz="8" w:color="DFE4EA"/>
            </w:tcBorders>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6420" w:type="dxa"/>
            <w:vAlign w:val="bottom"/>
            <w:tcBorders>
              <w:bottom w:val="single" w:sz="8" w:color="0000EE"/>
            </w:tcBorders>
            <w:gridSpan w:val="21"/>
          </w:tcPr>
          <w:p>
            <w:pPr>
              <w:spacing w:after="0"/>
              <w:rPr>
                <w:sz w:val="20"/>
                <w:szCs w:val="20"/>
                <w:color w:val="auto"/>
              </w:rPr>
            </w:pPr>
            <w:r>
              <w:rPr>
                <w:rFonts w:ascii="Arial" w:cs="Arial" w:eastAsia="Arial" w:hAnsi="Arial"/>
                <w:sz w:val="15"/>
                <w:szCs w:val="15"/>
                <w:color w:val="0000EE"/>
              </w:rPr>
              <w:t>APPENDIX A – NON-GAAP FINANCIAL MEASURE INFORMATION AND RECONCILIATION</w:t>
            </w:r>
          </w:p>
        </w:tc>
        <w:tc>
          <w:tcPr>
            <w:tcW w:w="2840" w:type="dxa"/>
            <w:vAlign w:val="bottom"/>
            <w:gridSpan w:val="5"/>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A-1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20"/>
          </w:cols>
          <w:pgMar w:left="980" w:top="877"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ARTIVION, INC.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443230</wp:posOffset>
            </wp:positionV>
            <wp:extent cx="720534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7" w:right="899" w:bottom="1440" w:gutter="0" w:footer="0" w:header="0"/>
          <w:type w:val="continuous"/>
        </w:sectPr>
      </w:pPr>
    </w:p>
    <w:bookmarkStart w:id="5" w:name="page6"/>
    <w:bookmarkEnd w:id="5"/>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2202180</wp:posOffset>
            </wp:positionH>
            <wp:positionV relativeFrom="page">
              <wp:posOffset>567690</wp:posOffset>
            </wp:positionV>
            <wp:extent cx="3211195" cy="464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3211195" cy="4641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b w:val="1"/>
          <w:bCs w:val="1"/>
          <w:color w:val="2B4B74"/>
        </w:rPr>
        <w:t>1655 ROBERTS BOULEVARD, NW</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B4B74"/>
        </w:rPr>
        <w:t>KENNESAW, GEORGIA 30144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111760</wp:posOffset>
            </wp:positionV>
            <wp:extent cx="170116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1165" cy="7620"/>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B4B74"/>
        </w:rPr>
        <w:t>PROXY STATEMENT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B4B74"/>
        </w:rPr>
        <w:t>FOR THE ANNUAL MEETING OF STOCKHOLDERS</w:t>
      </w:r>
    </w:p>
    <w:p>
      <w:pPr>
        <w:spacing w:after="0" w:line="213"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5"/>
          <w:szCs w:val="15"/>
          <w:color w:val="auto"/>
        </w:rPr>
        <w:t>This Proxy Statement is furnished to our stockholders as of the close of business on March 16, 2026, the record date, for the solicitation of proxies by the Board of Directors of Artivion, Inc. (“Artivion,” the “Company,” “we,” “our,” or “us”) for the Annual Meeting of Stockholders of Artivion (the “Annual Meeting”) to be held on May 12, 2026 at 9:00 a.m., ET. The Annual Meeting will only be held virtually at the following web address: https://edge.media-server.com/mmc/p/chse37tw. The voting of shares will not affect a stockholder’s right to attend the Annual Meeting. A signed paper proxy may be changed by sending in a timely, but later dated, signed paper proxy. Any stockholder sending in or completing a proxy may also revoke it at any time before it is exercised by giving timely notice to Jean F. Holloway, General Counsel and Corporate Secretary, Artivion, Inc., 1655 Roberts Boulevard, NW, Kennesaw, Georgia 30144, (770) 419-3355. Artivion is providing notice of the Annual Meeting and access to the Proxy Statement and Annual Report via the “Notice and Access” method.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QUESTIONS AND ANSWERS REGARDING THIS SOLICITATION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VOTING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6363335" cy="736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63335" cy="736600"/>
                    </a:xfrm>
                    <a:prstGeom prst="rect">
                      <a:avLst/>
                    </a:prstGeom>
                    <a:noFill/>
                  </pic:spPr>
                </pic:pic>
              </a:graphicData>
            </a:graphic>
          </wp:anchor>
        </w:drawing>
      </w:r>
    </w:p>
    <w:p>
      <w:pPr>
        <w:sectPr>
          <w:pgSz w:w="11900" w:h="16838" w:orient="portrait"/>
          <w:cols w:equalWidth="0" w:num="1">
            <w:col w:w="10020"/>
          </w:cols>
          <w:pgMar w:left="980" w:top="1440" w:right="899" w:bottom="1440" w:gutter="0" w:footer="0" w:header="0"/>
        </w:sectPr>
      </w:pPr>
    </w:p>
    <w:p>
      <w:pPr>
        <w:spacing w:after="0" w:line="127"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b w:val="1"/>
          <w:bCs w:val="1"/>
          <w:i w:val="1"/>
          <w:iCs w:val="1"/>
          <w:color w:val="auto"/>
        </w:rPr>
        <w:t>Why am I receiving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5"/>
          <w:szCs w:val="15"/>
          <w:b w:val="1"/>
          <w:bCs w:val="1"/>
          <w:i w:val="1"/>
          <w:iCs w:val="1"/>
          <w:color w:val="auto"/>
        </w:rPr>
        <w:t>What does it mean if I receive more than one Notice of Internet Availability of Proxy Materials or more than one set of proxy materials?</w:t>
      </w:r>
    </w:p>
    <w:p>
      <w:pPr>
        <w:spacing w:after="0" w:line="70"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b w:val="1"/>
          <w:bCs w:val="1"/>
          <w:i w:val="1"/>
          <w:iCs w:val="1"/>
          <w:color w:val="auto"/>
        </w:rPr>
        <w:t>Who is entitled to attend and vote during the Annual Meeting?</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You are receiving this Proxy Statement because you were a stockholder of record at the close of business on the record date of March 16, 2026. As a stockholder of record, you are invited to attend our Annual Meeting and are entitled to vote on the items of business described in this Proxy Statement. This Proxy Statement contains important information about the Annual Meeting and the items of business to be transacted at the Annual Meeting. You are strongly encouraged to read this Proxy Statement, which includes information that you may find useful in determining how to vote.</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At the close of business on the record date, we had a total of 48,495,993 shares of common stock outstanding, excluding a total of 1,486,803 shares of treasury stock held by Artivion, which are not entitled to vote. Each outstanding share of common stock will be entitled to one vote, non-cumulative,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156845</wp:posOffset>
            </wp:positionV>
            <wp:extent cx="6363335" cy="626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63335" cy="626110"/>
                    </a:xfrm>
                    <a:prstGeom prst="rect">
                      <a:avLst/>
                    </a:prstGeom>
                    <a:noFill/>
                  </pic:spPr>
                </pic:pic>
              </a:graphicData>
            </a:graphic>
          </wp:anchor>
        </w:drawing>
      </w: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It means that your shares are held in more than one account at the transfer agent and/or with banks or brokers. Please vote all of your shares. To ensure that all of your shares are voted, for each Notice or set of proxy materials, please submit your proxy by phone, via the internet, or, if you received printed copies of the proxy materials, by signing, dating, and returning the enclosed Proxy Card in the enclosed envelope.</w:t>
      </w: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Only holders of record of shares of our common stock at the close of business on March 16, 2026, are entitled to notice of, to attend, and to vote during the Annual Meeting and to notice of any adjournments or postponements of such Annual Meeting.</w:t>
      </w:r>
    </w:p>
    <w:p>
      <w:pPr>
        <w:spacing w:after="0" w:line="210" w:lineRule="exact"/>
        <w:rPr>
          <w:sz w:val="20"/>
          <w:szCs w:val="20"/>
          <w:color w:val="auto"/>
        </w:rPr>
      </w:pPr>
    </w:p>
    <w:p>
      <w:pPr>
        <w:sectPr>
          <w:pgSz w:w="11900" w:h="16838" w:orient="portrait"/>
          <w:cols w:equalWidth="0" w:num="2">
            <w:col w:w="2240" w:space="320"/>
            <w:col w:w="7460"/>
          </w:cols>
          <w:pgMar w:left="980" w:top="144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496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1440" w:right="899" w:bottom="1440" w:gutter="0" w:footer="0" w:header="0"/>
          <w:type w:val="continuous"/>
        </w:sectPr>
      </w:pPr>
    </w:p>
    <w:bookmarkStart w:id="6" w:name="page7"/>
    <w:bookmarkEnd w:id="6"/>
    <w:p>
      <w:pPr>
        <w:ind w:right="120"/>
        <w:spacing w:after="0" w:line="255" w:lineRule="auto"/>
        <w:rPr>
          <w:sz w:val="20"/>
          <w:szCs w:val="20"/>
          <w:color w:val="auto"/>
        </w:rPr>
      </w:pPr>
      <w:r>
        <w:rPr>
          <w:rFonts w:ascii="Arial" w:cs="Arial" w:eastAsia="Arial" w:hAnsi="Arial"/>
          <w:sz w:val="15"/>
          <w:szCs w:val="15"/>
          <w:b w:val="1"/>
          <w:bCs w:val="1"/>
          <w:i w:val="1"/>
          <w:iCs w:val="1"/>
          <w:color w:val="auto"/>
        </w:rPr>
        <w:t>How many shares must be present or represented to conduct business during the Annual Meeting (that is, what constitutes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b w:val="1"/>
          <w:bCs w:val="1"/>
          <w:i w:val="1"/>
          <w:iCs w:val="1"/>
          <w:color w:val="auto"/>
        </w:rPr>
        <w:t>What items of business will be voted on during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b w:val="1"/>
          <w:bCs w:val="1"/>
          <w:i w:val="1"/>
          <w:iCs w:val="1"/>
          <w:color w:val="auto"/>
        </w:rPr>
        <w:t>What happens if additional matters are presented during the Annual Meeting?</w:t>
      </w:r>
    </w:p>
    <w:p>
      <w:pPr>
        <w:spacing w:after="0" w:line="234" w:lineRule="exact"/>
        <w:rPr>
          <w:sz w:val="20"/>
          <w:szCs w:val="20"/>
          <w:color w:val="auto"/>
        </w:rPr>
      </w:pPr>
    </w:p>
    <w:p>
      <w:pPr>
        <w:ind w:right="240"/>
        <w:spacing w:after="0" w:line="268" w:lineRule="auto"/>
        <w:rPr>
          <w:sz w:val="20"/>
          <w:szCs w:val="20"/>
          <w:color w:val="auto"/>
        </w:rPr>
      </w:pPr>
      <w:r>
        <w:rPr>
          <w:rFonts w:ascii="Arial" w:cs="Arial" w:eastAsia="Arial" w:hAnsi="Arial"/>
          <w:sz w:val="15"/>
          <w:szCs w:val="15"/>
          <w:b w:val="1"/>
          <w:bCs w:val="1"/>
          <w:i w:val="1"/>
          <w:iCs w:val="1"/>
          <w:color w:val="auto"/>
        </w:rPr>
        <w:t>How does the Board of Directors recommend that I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b w:val="1"/>
          <w:bCs w:val="1"/>
          <w:i w:val="1"/>
          <w:iCs w:val="1"/>
          <w:color w:val="auto"/>
        </w:rPr>
        <w:t>What shares can I vote during the Annual Meeting?</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5"/>
          <w:szCs w:val="15"/>
          <w:b w:val="1"/>
          <w:bCs w:val="1"/>
          <w:i w:val="1"/>
          <w:iCs w:val="1"/>
          <w:color w:val="auto"/>
        </w:rPr>
        <w:t>What is the difference between holding shares as a stockholder of record and as a beneficial owner?</w:t>
      </w:r>
    </w:p>
    <w:p>
      <w:pPr>
        <w:spacing w:after="0" w:line="20" w:lineRule="exact"/>
        <w:rPr>
          <w:sz w:val="20"/>
          <w:szCs w:val="20"/>
          <w:color w:val="auto"/>
        </w:rPr>
      </w:pPr>
      <w:r>
        <w:rPr>
          <w:sz w:val="20"/>
          <w:szCs w:val="20"/>
          <w:color w:val="auto"/>
        </w:rPr>
        <w:br w:type="column"/>
      </w:r>
    </w:p>
    <w:p>
      <w:pPr>
        <w:jc w:val="both"/>
        <w:spacing w:after="0" w:line="246" w:lineRule="auto"/>
        <w:rPr>
          <w:sz w:val="20"/>
          <w:szCs w:val="20"/>
          <w:color w:val="auto"/>
        </w:rPr>
      </w:pPr>
      <w:r>
        <w:rPr>
          <w:rFonts w:ascii="Arial" w:cs="Arial" w:eastAsia="Arial" w:hAnsi="Arial"/>
          <w:sz w:val="15"/>
          <w:szCs w:val="15"/>
          <w:color w:val="auto"/>
        </w:rPr>
        <w:t>Presence during the Annual Meeting, by attendance at the virtual meeting, or by representation at the virtual meeting by proxy, of at least a majority of the shares outstanding and entitled to vote during the Annual Meeting will constitute a quorum for the transaction of business. Shares represented during the Annual Meeting or by proxy are counted for quorum purposes, even if they are not voted on for one or more matters. Abstentions from voting and broker non-votes, as defined below, will be counted for the purpose of determining the presence or absence of a quorum for the transaction of business. The Corporate Secretary or Assistant Secretary of Artivion, in consultation with the inspector of election, who will be an agent of Equiniti Trust Company, LLC, shall determine the eligibility of persons present during the Annual Meeting to vote and whether the name signed on each Proxy Card corresponds to the name of a stockholder of Artivion. The Corporate Secretary or Assistant Secretary, based on such consultation, shall also determine whether or not a quorum exists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-1239520</wp:posOffset>
            </wp:positionV>
            <wp:extent cx="6363335" cy="128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63335" cy="128905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items of business will be voted on during the Annual Meeting:</w:t>
      </w:r>
    </w:p>
    <w:p>
      <w:pPr>
        <w:spacing w:after="0" w:line="152" w:lineRule="exact"/>
        <w:rPr>
          <w:sz w:val="20"/>
          <w:szCs w:val="20"/>
          <w:color w:val="auto"/>
        </w:rPr>
      </w:pPr>
    </w:p>
    <w:p>
      <w:pPr>
        <w:jc w:val="both"/>
        <w:ind w:left="680" w:hanging="342"/>
        <w:spacing w:after="0" w:line="263"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elect as directors the nine nominees named in the enclosed Proxy Statement to serve until the next Annual Meeting of Stockholders or until their successors are duly qualified or until their earlier death, resignation, or removal.</w:t>
      </w:r>
    </w:p>
    <w:p>
      <w:pPr>
        <w:spacing w:after="0" w:line="117" w:lineRule="exact"/>
        <w:rPr>
          <w:rFonts w:ascii="Arial" w:cs="Arial" w:eastAsia="Arial" w:hAnsi="Arial"/>
          <w:sz w:val="15"/>
          <w:szCs w:val="15"/>
          <w:color w:val="auto"/>
        </w:rPr>
      </w:pPr>
    </w:p>
    <w:p>
      <w:pPr>
        <w:jc w:val="both"/>
        <w:ind w:left="680" w:hanging="342"/>
        <w:spacing w:after="0" w:line="263"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approve, by non-binding vote, the compensation paid to Artivion’s Named Executive Officers, as disclosed pursuant to Item 402 of Regulation S-K, including the Compensation Discussion and Analysis, compensation tables, and narrative discussion.</w:t>
      </w:r>
    </w:p>
    <w:p>
      <w:pPr>
        <w:spacing w:after="0" w:line="105" w:lineRule="exact"/>
        <w:rPr>
          <w:rFonts w:ascii="Arial" w:cs="Arial" w:eastAsia="Arial" w:hAnsi="Arial"/>
          <w:sz w:val="15"/>
          <w:szCs w:val="15"/>
          <w:color w:val="auto"/>
        </w:rPr>
      </w:pPr>
    </w:p>
    <w:p>
      <w:pPr>
        <w:ind w:left="680" w:hanging="342"/>
        <w:spacing w:after="0" w:line="285"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ratify the preliminary approval of Ernst &amp; Young LLP as the independent registered public accounting firm for the Company for the fiscal year ending December 31, 2026.</w:t>
      </w:r>
    </w:p>
    <w:p>
      <w:pPr>
        <w:spacing w:after="0" w:line="89" w:lineRule="exact"/>
        <w:rPr>
          <w:rFonts w:ascii="Arial" w:cs="Arial" w:eastAsia="Arial" w:hAnsi="Arial"/>
          <w:sz w:val="15"/>
          <w:szCs w:val="15"/>
          <w:color w:val="auto"/>
        </w:rPr>
      </w:pPr>
    </w:p>
    <w:p>
      <w:pPr>
        <w:ind w:left="680" w:hanging="342"/>
        <w:spacing w:after="0" w:line="285"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transact such other business as may be properly brought before the Annual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29210</wp:posOffset>
            </wp:positionV>
            <wp:extent cx="6363335" cy="515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63335" cy="515620"/>
                    </a:xfrm>
                    <a:prstGeom prst="rect">
                      <a:avLst/>
                    </a:prstGeom>
                    <a:noFill/>
                  </pic:spPr>
                </pic:pic>
              </a:graphicData>
            </a:graphic>
          </wp:anchor>
        </w:drawing>
      </w:r>
    </w:p>
    <w:p>
      <w:pPr>
        <w:spacing w:after="0" w:line="3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Other than the matters set forth in items 1-3 above, management is not aware of any matters that may come before the Annual Meeting. If any other matter or matters are properly brought before the Annual Meeting, the person(s) named as proxyholder(s) on your Notice or Proxy Card will have discretionary authority to vote the shares represented by the effective proxies as they deem advisable.</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Our Board of Directors recommends that you vote your shares:</w:t>
      </w:r>
    </w:p>
    <w:p>
      <w:pPr>
        <w:spacing w:after="0" w:line="150" w:lineRule="exact"/>
        <w:rPr>
          <w:sz w:val="20"/>
          <w:szCs w:val="20"/>
          <w:color w:val="auto"/>
        </w:rPr>
      </w:pPr>
    </w:p>
    <w:p>
      <w:pPr>
        <w:ind w:left="680" w:hanging="342"/>
        <w:spacing w:after="0"/>
        <w:tabs>
          <w:tab w:leader="none" w:pos="68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election of each of the director nominees identified in this Proxy Statement;</w:t>
      </w:r>
    </w:p>
    <w:p>
      <w:pPr>
        <w:spacing w:after="0" w:line="163" w:lineRule="exact"/>
        <w:rPr>
          <w:rFonts w:ascii="Arial" w:cs="Arial" w:eastAsia="Arial" w:hAnsi="Arial"/>
          <w:sz w:val="15"/>
          <w:szCs w:val="15"/>
          <w:color w:val="auto"/>
        </w:rPr>
      </w:pPr>
    </w:p>
    <w:p>
      <w:pPr>
        <w:ind w:left="680" w:hanging="342"/>
        <w:spacing w:after="0" w:line="264"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approval, on an advisory basis, of the compensation of our Named Executive Officers;</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p>
    <w:p>
      <w:pPr>
        <w:spacing w:after="0" w:line="309" w:lineRule="exact"/>
        <w:rPr>
          <w:rFonts w:ascii="Arial" w:cs="Arial" w:eastAsia="Arial" w:hAnsi="Arial"/>
          <w:sz w:val="15"/>
          <w:szCs w:val="15"/>
          <w:color w:val="auto"/>
        </w:rPr>
      </w:pPr>
    </w:p>
    <w:p>
      <w:pPr>
        <w:ind w:left="680" w:hanging="342"/>
        <w:spacing w:after="0" w:line="288"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ratification of the preliminary approval of Ernst &amp; Young LLP as the independent</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public accounting firm for the Company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27940</wp:posOffset>
            </wp:positionV>
            <wp:extent cx="6363335" cy="405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63335" cy="405130"/>
                    </a:xfrm>
                    <a:prstGeom prst="rect">
                      <a:avLst/>
                    </a:prstGeom>
                    <a:noFill/>
                  </pic:spPr>
                </pic:pic>
              </a:graphicData>
            </a:graphic>
          </wp:anchor>
        </w:drawing>
      </w:r>
    </w:p>
    <w:p>
      <w:pPr>
        <w:spacing w:after="0" w:line="3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You may vote shares that you owned as of March 16, 2026, the record date, including shares held directly in your name as the stockholder of record and all shares held for you as the beneficial owner through a broker, trustee, or other nominee such as a bank.</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Some of our stockholders hold all or a portion of their shares through a broker or other nominee rather than directly in their own name. As summarized below, there are some distinctions between common stock held of record and those owned beneficially.</w:t>
      </w:r>
    </w:p>
    <w:p>
      <w:pPr>
        <w:spacing w:after="0" w:line="377" w:lineRule="exact"/>
        <w:rPr>
          <w:sz w:val="20"/>
          <w:szCs w:val="20"/>
          <w:color w:val="auto"/>
        </w:rPr>
      </w:pPr>
    </w:p>
    <w:p>
      <w:pPr>
        <w:sectPr>
          <w:pgSz w:w="11900" w:h="16838" w:orient="portrait"/>
          <w:cols w:equalWidth="0" w:num="2">
            <w:col w:w="2260" w:space="300"/>
            <w:col w:w="7460"/>
          </w:cols>
          <w:pgMar w:left="980" w:top="96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496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960" w:right="89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b w:val="1"/>
          <w:bCs w:val="1"/>
          <w:i w:val="1"/>
          <w:iCs w:val="1"/>
          <w:color w:val="auto"/>
        </w:rPr>
        <w:t>Will my shares held in street name be voted if I do not provide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8" w:lineRule="auto"/>
        <w:rPr>
          <w:sz w:val="20"/>
          <w:szCs w:val="20"/>
          <w:color w:val="auto"/>
        </w:rPr>
      </w:pPr>
      <w:r>
        <w:rPr>
          <w:rFonts w:ascii="Arial" w:cs="Arial" w:eastAsia="Arial" w:hAnsi="Arial"/>
          <w:sz w:val="15"/>
          <w:szCs w:val="15"/>
          <w:b w:val="1"/>
          <w:bCs w:val="1"/>
          <w:i w:val="1"/>
          <w:iCs w:val="1"/>
          <w:color w:val="auto"/>
        </w:rPr>
        <w:t>How can I vote my shares without attending the Annual Meeting?</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5"/>
          <w:szCs w:val="15"/>
          <w:i w:val="1"/>
          <w:iCs w:val="1"/>
          <w:color w:val="auto"/>
        </w:rPr>
        <w:t xml:space="preserve">Stockholders of Record. </w:t>
      </w:r>
      <w:r>
        <w:rPr>
          <w:rFonts w:ascii="Arial" w:cs="Arial" w:eastAsia="Arial" w:hAnsi="Arial"/>
          <w:sz w:val="15"/>
          <w:szCs w:val="15"/>
          <w:color w:val="auto"/>
        </w:rPr>
        <w:t>If your shares are registered directly in your name with our transfer agent, you are</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the stockholder of record with respect to those shares. As the stockholder of record, you have the right to vote your shares during the Annual Meeting or direct the proxyholder how to vote your shares on your behalf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-471805</wp:posOffset>
            </wp:positionV>
            <wp:extent cx="6363335" cy="515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63335" cy="515620"/>
                    </a:xfrm>
                    <a:prstGeom prst="rect">
                      <a:avLst/>
                    </a:prstGeom>
                    <a:noFill/>
                  </pic:spPr>
                </pic:pic>
              </a:graphicData>
            </a:graphic>
          </wp:anchor>
        </w:drawing>
      </w:r>
    </w:p>
    <w:p>
      <w:pPr>
        <w:spacing w:after="0" w:line="5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i w:val="1"/>
          <w:iCs w:val="1"/>
          <w:color w:val="auto"/>
        </w:rPr>
        <w:t xml:space="preserve">Beneficial Owner. </w:t>
      </w:r>
      <w:r>
        <w:rPr>
          <w:rFonts w:ascii="Arial" w:cs="Arial" w:eastAsia="Arial" w:hAnsi="Arial"/>
          <w:sz w:val="15"/>
          <w:szCs w:val="15"/>
          <w:color w:val="auto"/>
        </w:rPr>
        <w:t>If your shares are held in a brokerage account or by another nominee, you are considered</w:t>
      </w:r>
      <w:r>
        <w:rPr>
          <w:rFonts w:ascii="Arial" w:cs="Arial" w:eastAsia="Arial" w:hAnsi="Arial"/>
          <w:sz w:val="15"/>
          <w:szCs w:val="15"/>
          <w:i w:val="1"/>
          <w:iCs w:val="1"/>
          <w:color w:val="auto"/>
        </w:rPr>
        <w:t xml:space="preserve"> </w:t>
      </w:r>
      <w:r>
        <w:rPr>
          <w:rFonts w:ascii="Arial" w:cs="Arial" w:eastAsia="Arial" w:hAnsi="Arial"/>
          <w:sz w:val="15"/>
          <w:szCs w:val="15"/>
          <w:color w:val="auto"/>
        </w:rPr>
        <w:t>the beneficial owner of shares held in street name. As the beneficial owner, you have the right to direct your broker, trustee, or nominee to vote your shares as you instruct. The broker, trustee, or other nominee may either vote during the Annual Meeting or grant a proxy and direct the proxyholder to vote your shares during the Annual Meeting as you have instructed. If you hold shares through a broker, trustee, or nominee, you may also vote your shares during the Annual Meeting, but only after you obtain a “legal proxy” from the broker, trustee, or nominee that holds your shares in advance of the Annual Meeting, giving you the right to vote your shares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46990</wp:posOffset>
            </wp:positionV>
            <wp:extent cx="6363335" cy="957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63335" cy="957580"/>
                    </a:xfrm>
                    <a:prstGeom prst="rect">
                      <a:avLst/>
                    </a:prstGeom>
                    <a:noFill/>
                  </pic:spPr>
                </pic:pic>
              </a:graphicData>
            </a:graphic>
          </wp:anchor>
        </w:drawing>
      </w:r>
    </w:p>
    <w:p>
      <w:pPr>
        <w:spacing w:after="0" w:line="6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Current NYSE rules allow brokers to vote shares on certain “routine” matters for which their customers do not provide voting instructions. If you own shares in street name through a broker, trustee, or other nominee, the ratification of the preliminary appointment of Ernst &amp; Young LLP as our independent registered public accounting firm for the fiscal year ending December 31, 2026 (Proposal 3) is considered a “routine” matter on which your broker may use its discretion to vote your shares without your instructions. The election of directors (Proposal 1) and the advisory vote on the compensation of our Named Executive Officers (Proposal</w:t>
      </w:r>
    </w:p>
    <w:p>
      <w:pPr>
        <w:spacing w:after="0" w:line="1" w:lineRule="exact"/>
        <w:rPr>
          <w:sz w:val="20"/>
          <w:szCs w:val="20"/>
          <w:color w:val="auto"/>
        </w:rPr>
      </w:pPr>
    </w:p>
    <w:p>
      <w:pPr>
        <w:ind w:firstLine="4"/>
        <w:spacing w:after="0" w:line="266" w:lineRule="auto"/>
        <w:tabs>
          <w:tab w:leader="none" w:pos="185" w:val="left"/>
        </w:tabs>
        <w:numPr>
          <w:ilvl w:val="0"/>
          <w:numId w:val="9"/>
        </w:numPr>
        <w:rPr>
          <w:rFonts w:ascii="Arial" w:cs="Arial" w:eastAsia="Arial" w:hAnsi="Arial"/>
          <w:sz w:val="15"/>
          <w:szCs w:val="15"/>
          <w:color w:val="auto"/>
        </w:rPr>
      </w:pPr>
      <w:r>
        <w:rPr>
          <w:rFonts w:ascii="Arial" w:cs="Arial" w:eastAsia="Arial" w:hAnsi="Arial"/>
          <w:sz w:val="15"/>
          <w:szCs w:val="15"/>
          <w:color w:val="auto"/>
        </w:rPr>
        <w:t>are not “routine” proposals; therefore, your broker will be unable to vote your shares on these proposals if you do not instruct your broker how to vote, which is referred to as a “broker non-vote.”</w:t>
      </w:r>
    </w:p>
    <w:p>
      <w:pPr>
        <w:spacing w:after="0" w:line="68"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Whether you hold shares directly as the stockholder of record or as a beneficial owner, you may vote in advance of the Annual Meeting by:</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i w:val="1"/>
          <w:iCs w:val="1"/>
          <w:color w:val="auto"/>
        </w:rPr>
        <w:t xml:space="preserve">Voting by Mail. </w:t>
      </w:r>
      <w:r>
        <w:rPr>
          <w:rFonts w:ascii="Arial" w:cs="Arial" w:eastAsia="Arial" w:hAnsi="Arial"/>
          <w:sz w:val="15"/>
          <w:szCs w:val="15"/>
          <w:color w:val="auto"/>
        </w:rPr>
        <w:t>You may vote by filling out and returning your Proxy Card (if you are a stockholder of record)</w:t>
      </w:r>
      <w:r>
        <w:rPr>
          <w:rFonts w:ascii="Arial" w:cs="Arial" w:eastAsia="Arial" w:hAnsi="Arial"/>
          <w:sz w:val="15"/>
          <w:szCs w:val="15"/>
          <w:i w:val="1"/>
          <w:iCs w:val="1"/>
          <w:color w:val="auto"/>
        </w:rPr>
        <w:t xml:space="preserve"> </w:t>
      </w:r>
      <w:r>
        <w:rPr>
          <w:rFonts w:ascii="Arial" w:cs="Arial" w:eastAsia="Arial" w:hAnsi="Arial"/>
          <w:sz w:val="15"/>
          <w:szCs w:val="15"/>
          <w:color w:val="auto"/>
        </w:rPr>
        <w:t>or by filling out and returning to your broker, trustee, or other nominee your voting instruction card (if you are a beneficial owner).</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i w:val="1"/>
          <w:iCs w:val="1"/>
          <w:color w:val="auto"/>
        </w:rPr>
        <w:t xml:space="preserve">Voting by Internet. </w:t>
      </w:r>
      <w:r>
        <w:rPr>
          <w:rFonts w:ascii="Arial" w:cs="Arial" w:eastAsia="Arial" w:hAnsi="Arial"/>
          <w:sz w:val="15"/>
          <w:szCs w:val="15"/>
          <w:color w:val="auto"/>
        </w:rPr>
        <w:t>If you are a stockholder of record, you may vote in advance of the Annual Meeting by</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the instructions provided on your Proxy Card. Most brokers, trustees, and similar nominees also provide beneficial owners with the option to vote by Internet, although practices may vary. If you are a beneficial owner, you must follow the instructions provided to you by your broker, trustee, or other nominee on your voting instruction card.</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i w:val="1"/>
          <w:iCs w:val="1"/>
          <w:color w:val="auto"/>
        </w:rPr>
        <w:t xml:space="preserve">Voting by Telephone. </w:t>
      </w:r>
      <w:r>
        <w:rPr>
          <w:rFonts w:ascii="Arial" w:cs="Arial" w:eastAsia="Arial" w:hAnsi="Arial"/>
          <w:sz w:val="15"/>
          <w:szCs w:val="15"/>
          <w:color w:val="auto"/>
        </w:rPr>
        <w:t>If you are a stockholder of record, you may vote in advance of the Annual Meeting by</w:t>
      </w:r>
      <w:r>
        <w:rPr>
          <w:rFonts w:ascii="Arial" w:cs="Arial" w:eastAsia="Arial" w:hAnsi="Arial"/>
          <w:sz w:val="15"/>
          <w:szCs w:val="15"/>
          <w:i w:val="1"/>
          <w:iCs w:val="1"/>
          <w:color w:val="auto"/>
        </w:rPr>
        <w:t xml:space="preserve"> </w:t>
      </w:r>
      <w:r>
        <w:rPr>
          <w:rFonts w:ascii="Arial" w:cs="Arial" w:eastAsia="Arial" w:hAnsi="Arial"/>
          <w:sz w:val="15"/>
          <w:szCs w:val="15"/>
          <w:color w:val="auto"/>
        </w:rPr>
        <w:t>telephone by following the instructions provided on your Proxy Card. Most brokers, trustees, and similar nominees also provide beneficial owners with the option to vote by telephone, although practices may vary. If you are a beneficial owner, you must follow the instructions provided to you by your broker, trustee, or other nominee on your voting instruction card.</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 xml:space="preserve">Whether you hold shares directly as the stockholder of record or as a beneficial owner, you may direct how your shares are voted without attending the Annual Meeting. If you provide specific instructions with regard to items of business to be voted on during the Annual Meeting, your shares will be voted as you instruct on those items. Proxies properly submitted to us that are signed but do not contain voting instructions and are not revoked prior to the Annual Meeting will be voted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election of each of the director nominees identified in this Proxy Statement,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approval, on an advisory basis, of the compensation of our Named Executive Officers, and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ratification of the preliminary approval of Ernst &amp; Young LLP as the independent registered public accounting firm for the Company for the fiscal year ending December 31, 2026.</w:t>
      </w:r>
    </w:p>
    <w:p>
      <w:pPr>
        <w:spacing w:after="0" w:line="200" w:lineRule="exact"/>
        <w:rPr>
          <w:sz w:val="20"/>
          <w:szCs w:val="20"/>
          <w:color w:val="auto"/>
        </w:rPr>
      </w:pPr>
    </w:p>
    <w:p>
      <w:pPr>
        <w:sectPr>
          <w:pgSz w:w="11900" w:h="16838" w:orient="portrait"/>
          <w:cols w:equalWidth="0" w:num="2">
            <w:col w:w="2140" w:space="420"/>
            <w:col w:w="7460"/>
          </w:cols>
          <w:pgMar w:left="980" w:top="96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96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960" w:right="899" w:bottom="1440" w:gutter="0" w:footer="0" w:header="0"/>
          <w:type w:val="continuous"/>
        </w:sectPr>
      </w:pPr>
    </w:p>
    <w:bookmarkStart w:id="8" w:name="page9"/>
    <w:bookmarkEnd w:id="8"/>
    <w:p>
      <w:pPr>
        <w:jc w:val="both"/>
        <w:ind w:right="420"/>
        <w:spacing w:after="0" w:line="268" w:lineRule="auto"/>
        <w:rPr>
          <w:sz w:val="20"/>
          <w:szCs w:val="20"/>
          <w:color w:val="auto"/>
        </w:rPr>
      </w:pPr>
      <w:r>
        <w:rPr>
          <w:rFonts w:ascii="Arial" w:cs="Arial" w:eastAsia="Arial" w:hAnsi="Arial"/>
          <w:sz w:val="15"/>
          <w:szCs w:val="15"/>
          <w:b w:val="1"/>
          <w:bCs w:val="1"/>
          <w:i w:val="1"/>
          <w:iCs w:val="1"/>
          <w:color w:val="auto"/>
        </w:rPr>
        <w:t>How can I vote my shares during the virtual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94" w:lineRule="auto"/>
        <w:rPr>
          <w:sz w:val="20"/>
          <w:szCs w:val="20"/>
          <w:color w:val="auto"/>
        </w:rPr>
      </w:pPr>
      <w:r>
        <w:rPr>
          <w:rFonts w:ascii="Arial" w:cs="Arial" w:eastAsia="Arial" w:hAnsi="Arial"/>
          <w:sz w:val="15"/>
          <w:szCs w:val="15"/>
          <w:b w:val="1"/>
          <w:bCs w:val="1"/>
          <w:i w:val="1"/>
          <w:iCs w:val="1"/>
          <w:color w:val="auto"/>
        </w:rPr>
        <w:t>Can I change my vote or revoke my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40"/>
        <w:spacing w:after="0" w:line="294" w:lineRule="auto"/>
        <w:rPr>
          <w:sz w:val="20"/>
          <w:szCs w:val="20"/>
          <w:color w:val="auto"/>
        </w:rPr>
      </w:pPr>
      <w:r>
        <w:rPr>
          <w:rFonts w:ascii="Arial" w:cs="Arial" w:eastAsia="Arial" w:hAnsi="Arial"/>
          <w:sz w:val="15"/>
          <w:szCs w:val="15"/>
          <w:b w:val="1"/>
          <w:bCs w:val="1"/>
          <w:i w:val="1"/>
          <w:iCs w:val="1"/>
          <w:color w:val="auto"/>
        </w:rPr>
        <w:t>What do I need to attend the virtual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 my vote confidential?</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5"/>
          <w:szCs w:val="15"/>
          <w:color w:val="auto"/>
        </w:rPr>
        <w:t>Shares held in your name as the stockholder of record may be voted during the Annual Meeting. You will need your control number and the meeting password, artivion2026, to vote your shares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-252095</wp:posOffset>
            </wp:positionV>
            <wp:extent cx="6363335" cy="2261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63335" cy="2261235"/>
                    </a:xfrm>
                    <a:prstGeom prst="rect">
                      <a:avLst/>
                    </a:prstGeom>
                    <a:noFill/>
                  </pic:spPr>
                </pic:pic>
              </a:graphicData>
            </a:graphic>
          </wp:anchor>
        </w:drawing>
      </w:r>
    </w:p>
    <w:p>
      <w:pPr>
        <w:spacing w:after="0" w:line="26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You may vote shares held beneficially in street name during the Annual Meeting only if you obtain a “legal proxy” from the broker, trustee, or nominee holding your shares that gives you the right to vote the shares during the Annual Meeting. After obtaining a valid legal proxy reflecting the number of shares of the Company that you held as of the record date of March 16, 2026, you may then register to attend the Annual Meeting by submitting proof of your legal proxy reflecting the number of your shares, along with your name and email address, to Equiniti Trust Company, LLC. Requests for registration should be directed to proxy@equiniti.com or to facsimile number (718) 765-8730. Written requests can be mailed to: Equiniti Trust Company, LLC, 55 Challenger Road, Floor 2, Ridgefield Park, New Jersey 07660. Requests for registration must be labeled as “Legal Proxy” and be received no later than 5:00 p.m., ET, on May 7, 2026. Upon completion of registration, meeting access information will be issued to beneficial stockholders by Equiniti Trust Company, LLC.</w:t>
      </w:r>
    </w:p>
    <w:p>
      <w:pPr>
        <w:spacing w:after="0" w:line="30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 xml:space="preserve">Online access to the meeting will begin at 8:00 a.m., ET, and stockholders are encouraged to log in to the meeting early. The Annual Meeting will begin promptly at 9:00 a.m., ET. </w:t>
      </w:r>
      <w:r>
        <w:rPr>
          <w:rFonts w:ascii="Arial" w:cs="Arial" w:eastAsia="Arial" w:hAnsi="Arial"/>
          <w:sz w:val="15"/>
          <w:szCs w:val="15"/>
          <w:b w:val="1"/>
          <w:bCs w:val="1"/>
          <w:i w:val="1"/>
          <w:iCs w:val="1"/>
          <w:color w:val="auto"/>
        </w:rPr>
        <w:t>Even if you plan to attend the</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Annual Meeting, we recommend that you also vote via Internet or telephone in advance to ensure that your vote will be counted if you later decide not to attend the Annual Meeting.</w:t>
      </w:r>
    </w:p>
    <w:p>
      <w:pPr>
        <w:spacing w:after="0" w:line="56"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If you are the stockholder of record, and you have submitted a vote via the Internet, telephone, or by mail, you may revoke your vote by submitting a timely later-dated vote via the same process you used to cast your original vote. Note, Internet voting through www.voteproxy.com and telephone voting are available only until 11:59 p.m., ET, the day before the Annual Meeting. You may also revoke your vote by providing written notice of revocation to our General Counsel and Corporate Secretary, Jean F. Holloway, or by attending the virtual Annual Meeting and voting in person. Attendance during the Annual Meeting will not cause your previously granted proxy to be revoked unless you specifically request such revocation. If you are a beneficial owner, you may revoke your vote by submitting a later-dated vote via the Internet or by telephone (if those options are available to you), or you may revoke your vote by submitting a new voting instruction card to your broker, trustee, or nominee, or, if you have obtained a “legal proxy” from your broker, trustee, or nominee giving you the right to vote your shares, by attending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48895</wp:posOffset>
            </wp:positionV>
            <wp:extent cx="6363335" cy="1348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63335" cy="1348105"/>
                    </a:xfrm>
                    <a:prstGeom prst="rect">
                      <a:avLst/>
                    </a:prstGeom>
                    <a:noFill/>
                  </pic:spPr>
                </pic:pic>
              </a:graphicData>
            </a:graphic>
          </wp:anchor>
        </w:drawing>
      </w:r>
    </w:p>
    <w:p>
      <w:pPr>
        <w:spacing w:after="0" w:line="6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Attendance during the Annual Meeting will be limited to our stockholders as of March 16, 2026, the record date, their authorized proxy holders, and guests of Artivion.</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Attending the virtual Annual Meeting as a stockholder of record.</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You will need your control number and the meeting password, artivion2026, to attend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Registering to attend the virtual Annual Meeting as a beneficial owner.</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After obtaining a valid legal proxy from your broker, bank, or other agent, you may then register to attend the Annual Meeting by submitting proof of your legal proxy as described above in, “</w:t>
      </w:r>
      <w:r>
        <w:rPr>
          <w:rFonts w:ascii="Arial" w:cs="Arial" w:eastAsia="Arial" w:hAnsi="Arial"/>
          <w:sz w:val="15"/>
          <w:szCs w:val="15"/>
          <w:b w:val="1"/>
          <w:bCs w:val="1"/>
          <w:color w:val="auto"/>
        </w:rPr>
        <w:t>How can I vote my shares</w:t>
      </w:r>
      <w:r>
        <w:rPr>
          <w:rFonts w:ascii="Arial" w:cs="Arial" w:eastAsia="Arial" w:hAnsi="Arial"/>
          <w:sz w:val="15"/>
          <w:szCs w:val="15"/>
          <w:color w:val="auto"/>
        </w:rPr>
        <w:t xml:space="preserve"> </w:t>
      </w:r>
      <w:r>
        <w:rPr>
          <w:rFonts w:ascii="Arial" w:cs="Arial" w:eastAsia="Arial" w:hAnsi="Arial"/>
          <w:sz w:val="15"/>
          <w:szCs w:val="15"/>
          <w:b w:val="1"/>
          <w:bCs w:val="1"/>
          <w:color w:val="auto"/>
        </w:rPr>
        <w:t>during the virtual Annual Meeting?</w:t>
      </w:r>
      <w:r>
        <w:rPr>
          <w:rFonts w:ascii="Arial" w:cs="Arial" w:eastAsia="Arial" w:hAnsi="Arial"/>
          <w:sz w:val="15"/>
          <w:szCs w:val="15"/>
          <w:color w:val="auto"/>
        </w:rPr>
        <w:t>”</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Electronic votes, proxy cards, voting instructions, ballots, and voting tabulations that identify individual stockholders are not secret; however, all such materials will be handled in a manner intended to reasonably protect your voting privacy. Your vote will not be disclosed, except as required by law and except as required to our transfer agent to allow for the tabulation of votes and certification of the vote and to facilitate a successful proxy solicitation.</w:t>
      </w:r>
    </w:p>
    <w:p>
      <w:pPr>
        <w:spacing w:after="0" w:line="200" w:lineRule="exact"/>
        <w:rPr>
          <w:sz w:val="20"/>
          <w:szCs w:val="20"/>
          <w:color w:val="auto"/>
        </w:rPr>
      </w:pPr>
    </w:p>
    <w:p>
      <w:pPr>
        <w:sectPr>
          <w:pgSz w:w="11900" w:h="16838" w:orient="portrait"/>
          <w:cols w:equalWidth="0" w:num="2">
            <w:col w:w="2320" w:space="240"/>
            <w:col w:w="7460"/>
          </w:cols>
          <w:pgMar w:left="980" w:top="96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496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960" w:right="899" w:bottom="1440" w:gutter="0" w:footer="0" w:header="0"/>
          <w:type w:val="continuous"/>
        </w:sectPr>
      </w:pPr>
    </w:p>
    <w:bookmarkStart w:id="9" w:name="page10"/>
    <w:bookmarkEnd w:id="9"/>
    <w:p>
      <w:pPr>
        <w:ind w:right="320"/>
        <w:spacing w:after="0" w:line="268" w:lineRule="auto"/>
        <w:rPr>
          <w:sz w:val="20"/>
          <w:szCs w:val="20"/>
          <w:color w:val="auto"/>
        </w:rPr>
      </w:pPr>
      <w:r>
        <w:rPr>
          <w:rFonts w:ascii="Arial" w:cs="Arial" w:eastAsia="Arial" w:hAnsi="Arial"/>
          <w:sz w:val="15"/>
          <w:szCs w:val="15"/>
          <w:b w:val="1"/>
          <w:bCs w:val="1"/>
          <w:i w:val="1"/>
          <w:iCs w:val="1"/>
          <w:color w:val="auto"/>
        </w:rPr>
        <w:t>How are votes counted and what vote is required to approve each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spacing w:after="0" w:line="294" w:lineRule="auto"/>
        <w:rPr>
          <w:sz w:val="20"/>
          <w:szCs w:val="20"/>
          <w:color w:val="auto"/>
        </w:rPr>
      </w:pPr>
      <w:r>
        <w:rPr>
          <w:rFonts w:ascii="Arial" w:cs="Arial" w:eastAsia="Arial" w:hAnsi="Arial"/>
          <w:sz w:val="15"/>
          <w:szCs w:val="15"/>
          <w:b w:val="1"/>
          <w:bCs w:val="1"/>
          <w:i w:val="1"/>
          <w:iCs w:val="1"/>
          <w:color w:val="auto"/>
        </w:rPr>
        <w:t>What happens if the Annual Meeting is adjourned?</w:t>
      </w:r>
    </w:p>
    <w:p>
      <w:pPr>
        <w:spacing w:after="0" w:line="200" w:lineRule="exact"/>
        <w:rPr>
          <w:sz w:val="20"/>
          <w:szCs w:val="20"/>
          <w:color w:val="auto"/>
        </w:rPr>
      </w:pPr>
    </w:p>
    <w:p>
      <w:pPr>
        <w:spacing w:after="0" w:line="363" w:lineRule="exact"/>
        <w:rPr>
          <w:sz w:val="20"/>
          <w:szCs w:val="20"/>
          <w:color w:val="auto"/>
        </w:rPr>
      </w:pPr>
    </w:p>
    <w:p>
      <w:pPr>
        <w:spacing w:after="0" w:line="259" w:lineRule="auto"/>
        <w:rPr>
          <w:sz w:val="20"/>
          <w:szCs w:val="20"/>
          <w:color w:val="auto"/>
        </w:rPr>
      </w:pPr>
      <w:r>
        <w:rPr>
          <w:rFonts w:ascii="Arial" w:cs="Arial" w:eastAsia="Arial" w:hAnsi="Arial"/>
          <w:sz w:val="15"/>
          <w:szCs w:val="15"/>
          <w:b w:val="1"/>
          <w:bCs w:val="1"/>
          <w:i w:val="1"/>
          <w:iCs w:val="1"/>
          <w:color w:val="auto"/>
        </w:rPr>
        <w:t>Who should I contact if I experience technical difficulties accessing the virtual Annual Meeting?</w:t>
      </w:r>
    </w:p>
    <w:p>
      <w:pPr>
        <w:spacing w:after="0" w:line="67"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b w:val="1"/>
          <w:bCs w:val="1"/>
          <w:i w:val="1"/>
          <w:iCs w:val="1"/>
          <w:color w:val="auto"/>
        </w:rPr>
        <w:t>What else should I know about the virtual process for the Annual Meeting?</w:t>
      </w:r>
    </w:p>
    <w:p>
      <w:pPr>
        <w:spacing w:after="0" w:line="200" w:lineRule="exact"/>
        <w:rPr>
          <w:sz w:val="20"/>
          <w:szCs w:val="20"/>
          <w:color w:val="auto"/>
        </w:rPr>
      </w:pPr>
    </w:p>
    <w:p>
      <w:pPr>
        <w:spacing w:after="0" w:line="208" w:lineRule="exact"/>
        <w:rPr>
          <w:sz w:val="20"/>
          <w:szCs w:val="20"/>
          <w:color w:val="auto"/>
        </w:rPr>
      </w:pPr>
    </w:p>
    <w:p>
      <w:pPr>
        <w:jc w:val="both"/>
        <w:ind w:right="120"/>
        <w:spacing w:after="0" w:line="268" w:lineRule="auto"/>
        <w:rPr>
          <w:sz w:val="20"/>
          <w:szCs w:val="20"/>
          <w:color w:val="auto"/>
        </w:rPr>
      </w:pPr>
      <w:r>
        <w:rPr>
          <w:rFonts w:ascii="Arial" w:cs="Arial" w:eastAsia="Arial" w:hAnsi="Arial"/>
          <w:sz w:val="15"/>
          <w:szCs w:val="15"/>
          <w:b w:val="1"/>
          <w:bCs w:val="1"/>
          <w:i w:val="1"/>
          <w:iCs w:val="1"/>
          <w:color w:val="auto"/>
        </w:rPr>
        <w:t>Who is soliciting my vote, and who will bear the costs of this solicitation?</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5"/>
          <w:szCs w:val="15"/>
          <w:color w:val="auto"/>
        </w:rPr>
        <w:t>Each outstanding share of common stock entitles the holder thereof to one vote on each matter considered during the Annual Meeting. Stockholders are not entitled to cumulate their votes in the election of directors or with respect to any other matter submitted to a vote of the stockholders pursuant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-364490</wp:posOffset>
            </wp:positionV>
            <wp:extent cx="6363335" cy="405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63335" cy="405130"/>
                    </a:xfrm>
                    <a:prstGeom prst="rect">
                      <a:avLst/>
                    </a:prstGeom>
                    <a:noFill/>
                  </pic:spPr>
                </pic:pic>
              </a:graphicData>
            </a:graphic>
          </wp:anchor>
        </w:drawing>
      </w:r>
    </w:p>
    <w:p>
      <w:pPr>
        <w:spacing w:after="0" w:line="51"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Nominees for election as directors will be elected by a plurality of the votes cast by the holders of shares entitled to vote in the election. Since there are nine directorships to be filled, this means that the nine individuals receiving the most “For” votes will be elected. Shares voted “Withhold,” abstentions, and broker non-votes will therefore not be relevant to the outcome. A broker non-vote occurs when a broker holding shares for a beneficial owner does not vote on a particular proposal because the broker does not have discretionary voting authority and has not received voting instructions from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46355</wp:posOffset>
            </wp:positionV>
            <wp:extent cx="6363335" cy="736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63335" cy="736600"/>
                    </a:xfrm>
                    <a:prstGeom prst="rect">
                      <a:avLst/>
                    </a:prstGeom>
                    <a:noFill/>
                  </pic:spPr>
                </pic:pic>
              </a:graphicData>
            </a:graphic>
          </wp:anchor>
        </w:drawing>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advisory votes cast “For” the approval of the compensation paid to Artivion’s Named Executive Officers, as disclosed pursuant to Item 402 of Regulation S-K, including the Compensation Discussion and Analysis, compensation tables, and narrative discussion, must constitute a majority of shares present, either in person or by proxy, and entitled to vote on this proposal in order for it to be approved. Accordingly, abstentions will have the same effect as an “Against” vote. Broker non-votes will have no effect on the outcome of this proposal.</w:t>
      </w:r>
    </w:p>
    <w:p>
      <w:pPr>
        <w:spacing w:after="0" w:line="25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votes cast “For” ratification of the preliminary approval of the appointment of Ernst &amp; Young LLP as Artivion’s independent registered accounting firm must constitute a majority of shares present, either in person or by proxy, and entitled to vote on this proposal. Abstentions will have the same effect as an “Against” vote. Because brokers and other nominees have discretionary authority to vote on the ratification, we do not expect any broker non-votes in connection with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43180</wp:posOffset>
            </wp:positionV>
            <wp:extent cx="6363335" cy="294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63335" cy="294640"/>
                    </a:xfrm>
                    <a:prstGeom prst="rect">
                      <a:avLst/>
                    </a:prstGeom>
                    <a:noFill/>
                  </pic:spPr>
                </pic:pic>
              </a:graphicData>
            </a:graphic>
          </wp:anchor>
        </w:drawing>
      </w:r>
    </w:p>
    <w:p>
      <w:pPr>
        <w:spacing w:after="0" w:line="5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There are no rights of appraisal or similar dissenters’ rights with respect to any matter to be acted upon pursuant to this Proxy Statement.</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Assuming the presence of a quorum, if our Annual Meeting is adjourned to another time and place, no additional notice of the adjourned meeting will be given if the time and place of the adjourned meeting is announced during the Annual Meeting, unless the adjournment is for more than 30 days, in which case a new record date must be fixed and notice of the adjourned meeting distributed. At the adjourned meeting, we may transact any items of business that might have been transacted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43180</wp:posOffset>
            </wp:positionV>
            <wp:extent cx="6363335" cy="515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63335" cy="515620"/>
                    </a:xfrm>
                    <a:prstGeom prst="rect">
                      <a:avLst/>
                    </a:prstGeom>
                    <a:noFill/>
                  </pic:spPr>
                </pic:pic>
              </a:graphicData>
            </a:graphic>
          </wp:anchor>
        </w:drawing>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Equiniti Trust Company, LLC will provide technical support for all stockholders attending the Annual Meeting. Stockholders experiencing technical difficulties accessing the meeting may visit https://go.lumiglobal.com/faq for assistance. We encourage you to access the Annual Meeting starting one hour prior to the start time, leaving ample time for the check-in process.</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Stockholders of record, or those who have received a “legal proxy,” will be able to submit questions related to the business of the meeting while attending the Annual Meeting from the time the meeting is first called to order through the end of the question-and-answer period and will be alerted prior to the end of the question-and-answer period. A replay of the Annual Meeting and a list of stockholder questions and Company answers will be available after the Annual Meeting concludes.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43180</wp:posOffset>
            </wp:positionV>
            <wp:extent cx="6363335" cy="736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63335" cy="736600"/>
                    </a:xfrm>
                    <a:prstGeom prst="rect">
                      <a:avLst/>
                    </a:prstGeom>
                    <a:noFill/>
                  </pic:spPr>
                </pic:pic>
              </a:graphicData>
            </a:graphic>
          </wp:anchor>
        </w:drawing>
      </w:r>
    </w:p>
    <w:p>
      <w:pPr>
        <w:spacing w:after="0" w:line="57"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Proxy Statement is being solicited on behalf of our Board of Directors. We will bear the entire cost of solicitation of proxies, including preparation, assembly, printing, and delivery of this Proxy Statement, via electronic means or paper means upon stockholder request. In addition, our non-employee directors, executive officers, employees, and agents may also solicit proxies in person, by telephone, by electronic mail, or by other means of communication. We will not pay any additional compensation to our non-employee directors, executive officers, or other employees for soliciting proxies.</w:t>
      </w:r>
    </w:p>
    <w:p>
      <w:pPr>
        <w:spacing w:after="0" w:line="200" w:lineRule="exact"/>
        <w:rPr>
          <w:sz w:val="20"/>
          <w:szCs w:val="20"/>
          <w:color w:val="auto"/>
        </w:rPr>
      </w:pPr>
    </w:p>
    <w:p>
      <w:pPr>
        <w:sectPr>
          <w:pgSz w:w="11900" w:h="16838" w:orient="portrait"/>
          <w:cols w:equalWidth="0" w:num="2">
            <w:col w:w="2340" w:space="220"/>
            <w:col w:w="7460"/>
          </w:cols>
          <w:pgMar w:left="980" w:top="96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496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960" w:right="899" w:bottom="1440" w:gutter="0" w:footer="0" w:header="0"/>
          <w:type w:val="continuous"/>
        </w:sectPr>
      </w:pPr>
    </w:p>
    <w:bookmarkStart w:id="10" w:name="page11"/>
    <w:bookmarkEnd w:id="10"/>
    <w:p>
      <w:pPr>
        <w:spacing w:after="0" w:line="294" w:lineRule="auto"/>
        <w:rPr>
          <w:sz w:val="20"/>
          <w:szCs w:val="20"/>
          <w:color w:val="auto"/>
        </w:rPr>
      </w:pPr>
      <w:r>
        <w:rPr>
          <w:rFonts w:ascii="Arial" w:cs="Arial" w:eastAsia="Arial" w:hAnsi="Arial"/>
          <w:sz w:val="15"/>
          <w:szCs w:val="15"/>
          <w:b w:val="1"/>
          <w:bCs w:val="1"/>
          <w:i w:val="1"/>
          <w:iCs w:val="1"/>
          <w:color w:val="auto"/>
        </w:rPr>
        <w:t>Where can I find the voting results of the Annual Meeting?</w:t>
      </w:r>
    </w:p>
    <w:p>
      <w:pPr>
        <w:spacing w:after="0" w:line="41" w:lineRule="exact"/>
        <w:rPr>
          <w:sz w:val="20"/>
          <w:szCs w:val="20"/>
          <w:color w:val="auto"/>
        </w:rPr>
      </w:pPr>
    </w:p>
    <w:p>
      <w:pPr>
        <w:ind w:right="160"/>
        <w:spacing w:after="0" w:line="250" w:lineRule="auto"/>
        <w:rPr>
          <w:sz w:val="20"/>
          <w:szCs w:val="20"/>
          <w:color w:val="auto"/>
        </w:rPr>
      </w:pPr>
      <w:r>
        <w:rPr>
          <w:rFonts w:ascii="Arial" w:cs="Arial" w:eastAsia="Arial" w:hAnsi="Arial"/>
          <w:sz w:val="15"/>
          <w:szCs w:val="15"/>
          <w:b w:val="1"/>
          <w:bCs w:val="1"/>
          <w:i w:val="1"/>
          <w:iCs w:val="1"/>
          <w:color w:val="auto"/>
        </w:rPr>
        <w:t>What is the deadline for submitting proposals for consideration at next year’s Annual Meeting of Stockholders or to nominate individuals to serve as directors?</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5"/>
          <w:szCs w:val="15"/>
          <w:color w:val="auto"/>
        </w:rPr>
        <w:t>We intend to announce preliminary voting results during the Annual Meeting and publish the final voting results in a Current Report on Form 8-K filed within four business days after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29210</wp:posOffset>
            </wp:positionV>
            <wp:extent cx="6363335" cy="2799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63335" cy="2799080"/>
                    </a:xfrm>
                    <a:prstGeom prst="rect">
                      <a:avLst/>
                    </a:prstGeom>
                    <a:noFill/>
                  </pic:spPr>
                </pic:pic>
              </a:graphicData>
            </a:graphic>
          </wp:anchor>
        </w:drawing>
      </w:r>
    </w:p>
    <w:p>
      <w:pPr>
        <w:spacing w:after="0" w:line="3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Appropriate stockholder proposals intended to be presented at Artivion’s 2027 Annual Meeting of Stockholders pursuant to Rule 14a-8 promulgated under the Securities Exchange Act of 1934, as amended (the “Exchange Act”) must be received by Artivion by December 2, 2026, for inclusion in its Proxy Statement and form of proxy for such meeting. Stockholder proposals must comply with the requirements of Rule 14a-8 of the Exchange Act and any other applicable rules established by the Securities and Exchange Commission (the “SEC”).</w:t>
      </w: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Proposals of stockholders intended to be presented during the 2027 Annual Meeting of Stockholders without inclusion of such proposals in our Proxy Statement relating to such annual meeting must be received not later than the close of business on the 90th day and not earlier than the close of business on the 120th day prior to the first anniversary of the preceding year’s annual meeting.</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Therefore, for the 2027 Annual Meeting of Stockholders, all stockholder proposals submitted outside of the stockholder proposal rules promulgated pursuant to Rule 14a-8 under the Exchange Act, including nominations for individuals to serve as non-employee directors, must be received by Artivion no later than February 11, 2027, but no earlier than January 12, 2027, to be considered timely and must include the information specified under our Bylaws. If the month and day of the next annual meeting is advanced or delayed by more than 30 calendar days from the month and day of the annual meeting to which this Proxy Statement relates, Artivion shall, in a timely manner, inform its stockholders of the change and the date by which proposals of stockholders must be received.</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addition to the foregoing, to comply with the universal proxy rules, stockholders who intend to solicit proxies in support of director nominees other than the Company’s nominees must provide notice that sets forth the information required by our Bylaws and Rule 14a-19 under the Exchange Act no later than February 11, 2027, but no earlier than January 12, 2027.</w:t>
      </w:r>
    </w:p>
    <w:p>
      <w:pPr>
        <w:spacing w:after="0" w:line="200" w:lineRule="exact"/>
        <w:rPr>
          <w:sz w:val="20"/>
          <w:szCs w:val="20"/>
          <w:color w:val="auto"/>
        </w:rPr>
      </w:pPr>
    </w:p>
    <w:p>
      <w:pPr>
        <w:sectPr>
          <w:pgSz w:w="11900" w:h="16838" w:orient="portrait"/>
          <w:cols w:equalWidth="0" w:num="2">
            <w:col w:w="2260" w:space="300"/>
            <w:col w:w="7460"/>
          </w:cols>
          <w:pgMar w:left="980" w:top="96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496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960" w:right="8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9"/>
          <w:szCs w:val="19"/>
          <w:b w:val="1"/>
          <w:bCs w:val="1"/>
          <w:color w:val="2B4B74"/>
        </w:rPr>
        <w:t>PROPOSAL ONE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Artivion directors elected during the Annual Meeting on May 12, 2026, will hold office until the next annual meeting, until their successors are duly qualified, or until their earlier death, resignation, or removal.</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Nominees</w:t>
      </w:r>
    </w:p>
    <w:p>
      <w:pPr>
        <w:spacing w:after="0" w:line="122"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Each of the nominees currently serves as a director of Artivion. Should any director nominee become unable to accept nomination or election, the persons appointed on the Proxy Card intend, unless otherwise specifically instructed in the Proxy Statement, to vote for the election of such other nominee, if any, as the Board of Directors may recommend, or the Board may elect to reduce its size.</w:t>
      </w:r>
    </w:p>
    <w:p>
      <w:pPr>
        <w:spacing w:after="0" w:line="106"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The following table sets forth the name and age of each nominee, the period during which each such person has served as a director of Artivion, the number of shares of Artivion’s common stock beneficially owned, directly or indirectly, by such person, and the percentage of outstanding shares of Artivion’s common stock such ownership represented at the close of business on March 16, 2026, according to information maintained by Artivion. None of the shares of stock noted below are subject to a pledge or similar arrangement. Except for J. Patrick Mackin, our President, Chief Executive Officer, and Chairman of the Board of Directors, none of the nominees holds any other position or office with Artivion.</w:t>
      </w:r>
    </w:p>
    <w:p>
      <w:pPr>
        <w:spacing w:after="0" w:line="144"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5"/>
                <w:szCs w:val="15"/>
                <w:b w:val="1"/>
                <w:bCs w:val="1"/>
                <w:color w:val="auto"/>
              </w:rPr>
              <w:t>Shares of Artivion</w:t>
            </w:r>
          </w:p>
        </w:tc>
        <w:tc>
          <w:tcPr>
            <w:tcW w:w="2040" w:type="dxa"/>
            <w:vAlign w:val="bottom"/>
          </w:tcPr>
          <w:p>
            <w:pPr>
              <w:jc w:val="center"/>
              <w:spacing w:after="0"/>
              <w:rPr>
                <w:sz w:val="20"/>
                <w:szCs w:val="20"/>
                <w:color w:val="auto"/>
              </w:rPr>
            </w:pPr>
            <w:r>
              <w:rPr>
                <w:rFonts w:ascii="Arial" w:cs="Arial" w:eastAsia="Arial" w:hAnsi="Arial"/>
                <w:sz w:val="15"/>
                <w:szCs w:val="15"/>
                <w:b w:val="1"/>
                <w:bCs w:val="1"/>
                <w:color w:val="auto"/>
              </w:rPr>
              <w:t>Percentage of</w:t>
            </w:r>
          </w:p>
        </w:tc>
      </w:tr>
      <w:tr>
        <w:trPr>
          <w:trHeight w:val="171"/>
        </w:trPr>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tcPr>
          <w:p>
            <w:pPr>
              <w:jc w:val="center"/>
              <w:spacing w:after="0" w:line="172" w:lineRule="exact"/>
              <w:rPr>
                <w:sz w:val="20"/>
                <w:szCs w:val="20"/>
                <w:color w:val="auto"/>
              </w:rPr>
            </w:pPr>
            <w:r>
              <w:rPr>
                <w:rFonts w:ascii="Arial" w:cs="Arial" w:eastAsia="Arial" w:hAnsi="Arial"/>
                <w:sz w:val="15"/>
                <w:szCs w:val="15"/>
                <w:b w:val="1"/>
                <w:bCs w:val="1"/>
                <w:color w:val="auto"/>
              </w:rPr>
              <w:t>Stock Beneficially</w:t>
            </w:r>
          </w:p>
        </w:tc>
        <w:tc>
          <w:tcPr>
            <w:tcW w:w="2040" w:type="dxa"/>
            <w:vAlign w:val="bottom"/>
          </w:tcPr>
          <w:p>
            <w:pPr>
              <w:jc w:val="center"/>
              <w:spacing w:after="0" w:line="172" w:lineRule="exact"/>
              <w:rPr>
                <w:sz w:val="20"/>
                <w:szCs w:val="20"/>
                <w:color w:val="auto"/>
              </w:rPr>
            </w:pPr>
            <w:r>
              <w:rPr>
                <w:rFonts w:ascii="Arial" w:cs="Arial" w:eastAsia="Arial" w:hAnsi="Arial"/>
                <w:sz w:val="15"/>
                <w:szCs w:val="15"/>
                <w:b w:val="1"/>
                <w:bCs w:val="1"/>
                <w:color w:val="auto"/>
              </w:rPr>
              <w:t>Outstanding Shares</w:t>
            </w:r>
          </w:p>
        </w:tc>
      </w:tr>
      <w:tr>
        <w:trPr>
          <w:trHeight w:val="200"/>
        </w:trPr>
        <w:tc>
          <w:tcPr>
            <w:tcW w:w="17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rPr>
              <w:t>Director</w:t>
            </w:r>
          </w:p>
        </w:tc>
        <w:tc>
          <w:tcPr>
            <w:tcW w:w="860" w:type="dxa"/>
            <w:vAlign w:val="bottom"/>
          </w:tcPr>
          <w:p>
            <w:pPr>
              <w:spacing w:after="0"/>
              <w:rPr>
                <w:sz w:val="17"/>
                <w:szCs w:val="17"/>
                <w:color w:val="auto"/>
              </w:rPr>
            </w:pPr>
          </w:p>
        </w:tc>
        <w:tc>
          <w:tcPr>
            <w:tcW w:w="1960" w:type="dxa"/>
            <w:vAlign w:val="bottom"/>
          </w:tcPr>
          <w:p>
            <w:pPr>
              <w:jc w:val="center"/>
              <w:spacing w:after="0" w:line="200" w:lineRule="exact"/>
              <w:rPr>
                <w:sz w:val="20"/>
                <w:szCs w:val="20"/>
                <w:color w:val="auto"/>
              </w:rPr>
            </w:pPr>
            <w:r>
              <w:rPr>
                <w:rFonts w:ascii="Arial" w:cs="Arial" w:eastAsia="Arial" w:hAnsi="Arial"/>
                <w:sz w:val="15"/>
                <w:szCs w:val="15"/>
                <w:b w:val="1"/>
                <w:bCs w:val="1"/>
                <w:color w:val="auto"/>
                <w:w w:val="95"/>
              </w:rPr>
              <w:t>Owned</w:t>
            </w:r>
            <w:r>
              <w:rPr>
                <w:rFonts w:ascii="Arial" w:cs="Arial" w:eastAsia="Arial" w:hAnsi="Arial"/>
                <w:sz w:val="23"/>
                <w:szCs w:val="23"/>
                <w:b w:val="1"/>
                <w:bCs w:val="1"/>
                <w:color w:val="auto"/>
                <w:w w:val="95"/>
                <w:vertAlign w:val="superscript"/>
              </w:rPr>
              <w:t>(1)</w:t>
            </w:r>
          </w:p>
        </w:tc>
        <w:tc>
          <w:tcPr>
            <w:tcW w:w="2040" w:type="dxa"/>
            <w:vAlign w:val="bottom"/>
          </w:tcPr>
          <w:p>
            <w:pPr>
              <w:jc w:val="center"/>
              <w:spacing w:after="0" w:line="200" w:lineRule="exact"/>
              <w:rPr>
                <w:sz w:val="20"/>
                <w:szCs w:val="20"/>
                <w:color w:val="auto"/>
              </w:rPr>
            </w:pPr>
            <w:r>
              <w:rPr>
                <w:rFonts w:ascii="Arial" w:cs="Arial" w:eastAsia="Arial" w:hAnsi="Arial"/>
                <w:sz w:val="15"/>
                <w:szCs w:val="15"/>
                <w:b w:val="1"/>
                <w:bCs w:val="1"/>
                <w:color w:val="auto"/>
                <w:w w:val="99"/>
              </w:rPr>
              <w:t>of Artivion Stock</w:t>
            </w:r>
            <w:r>
              <w:rPr>
                <w:rFonts w:ascii="Arial" w:cs="Arial" w:eastAsia="Arial" w:hAnsi="Arial"/>
                <w:sz w:val="23"/>
                <w:szCs w:val="23"/>
                <w:b w:val="1"/>
                <w:bCs w:val="1"/>
                <w:color w:val="auto"/>
                <w:w w:val="99"/>
                <w:vertAlign w:val="superscript"/>
              </w:rPr>
              <w:t>(4)</w:t>
            </w:r>
          </w:p>
        </w:tc>
      </w:tr>
      <w:tr>
        <w:trPr>
          <w:trHeight w:val="198"/>
        </w:trPr>
        <w:tc>
          <w:tcPr>
            <w:tcW w:w="17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Name of Nominee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Since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Age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r>
      <w:tr>
        <w:trPr>
          <w:trHeight w:val="228"/>
        </w:trPr>
        <w:tc>
          <w:tcPr>
            <w:tcW w:w="1760" w:type="dxa"/>
            <w:vAlign w:val="bottom"/>
            <w:shd w:val="clear" w:color="auto" w:fill="DFE4EA"/>
          </w:tcPr>
          <w:p>
            <w:pPr>
              <w:spacing w:after="0"/>
              <w:rPr>
                <w:sz w:val="20"/>
                <w:szCs w:val="20"/>
                <w:color w:val="auto"/>
              </w:rPr>
            </w:pPr>
            <w:r>
              <w:rPr>
                <w:rFonts w:ascii="Arial" w:cs="Arial" w:eastAsia="Arial" w:hAnsi="Arial"/>
                <w:sz w:val="15"/>
                <w:szCs w:val="15"/>
                <w:color w:val="auto"/>
              </w:rPr>
              <w:t>Thomas F. Ackerman</w:t>
            </w:r>
          </w:p>
        </w:tc>
        <w:tc>
          <w:tcPr>
            <w:tcW w:w="108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2003</w:t>
            </w:r>
          </w:p>
        </w:tc>
        <w:tc>
          <w:tcPr>
            <w:tcW w:w="86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5"/>
              </w:rPr>
              <w:t>71</w:t>
            </w:r>
          </w:p>
        </w:tc>
        <w:tc>
          <w:tcPr>
            <w:tcW w:w="1960" w:type="dxa"/>
            <w:vAlign w:val="bottom"/>
            <w:shd w:val="clear" w:color="auto" w:fill="DFE4EA"/>
          </w:tcPr>
          <w:p>
            <w:pPr>
              <w:jc w:val="right"/>
              <w:ind w:right="423"/>
              <w:spacing w:after="0" w:line="228" w:lineRule="exact"/>
              <w:rPr>
                <w:sz w:val="20"/>
                <w:szCs w:val="20"/>
                <w:color w:val="auto"/>
              </w:rPr>
            </w:pPr>
            <w:r>
              <w:rPr>
                <w:rFonts w:ascii="Arial" w:cs="Arial" w:eastAsia="Arial" w:hAnsi="Arial"/>
                <w:sz w:val="15"/>
                <w:szCs w:val="15"/>
                <w:color w:val="auto"/>
              </w:rPr>
              <w:t>149,896</w:t>
            </w:r>
            <w:r>
              <w:rPr>
                <w:rFonts w:ascii="Arial" w:cs="Arial" w:eastAsia="Arial" w:hAnsi="Arial"/>
                <w:sz w:val="24"/>
                <w:szCs w:val="24"/>
                <w:color w:val="auto"/>
                <w:vertAlign w:val="superscript"/>
              </w:rPr>
              <w:t>(2)</w:t>
            </w:r>
          </w:p>
        </w:tc>
        <w:tc>
          <w:tcPr>
            <w:tcW w:w="20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r>
      <w:tr>
        <w:trPr>
          <w:trHeight w:val="220"/>
        </w:trPr>
        <w:tc>
          <w:tcPr>
            <w:tcW w:w="1760" w:type="dxa"/>
            <w:vAlign w:val="bottom"/>
          </w:tcPr>
          <w:p>
            <w:pPr>
              <w:spacing w:after="0"/>
              <w:rPr>
                <w:sz w:val="20"/>
                <w:szCs w:val="20"/>
                <w:color w:val="auto"/>
              </w:rPr>
            </w:pPr>
            <w:r>
              <w:rPr>
                <w:rFonts w:ascii="Arial" w:cs="Arial" w:eastAsia="Arial" w:hAnsi="Arial"/>
                <w:sz w:val="15"/>
                <w:szCs w:val="15"/>
                <w:color w:val="auto"/>
              </w:rPr>
              <w:t>Daniel J. Bevevino</w:t>
            </w:r>
          </w:p>
        </w:tc>
        <w:tc>
          <w:tcPr>
            <w:tcW w:w="1080" w:type="dxa"/>
            <w:vAlign w:val="bottom"/>
          </w:tcPr>
          <w:p>
            <w:pPr>
              <w:jc w:val="center"/>
              <w:spacing w:after="0"/>
              <w:rPr>
                <w:sz w:val="20"/>
                <w:szCs w:val="20"/>
                <w:color w:val="auto"/>
              </w:rPr>
            </w:pPr>
            <w:r>
              <w:rPr>
                <w:rFonts w:ascii="Arial" w:cs="Arial" w:eastAsia="Arial" w:hAnsi="Arial"/>
                <w:sz w:val="15"/>
                <w:szCs w:val="15"/>
                <w:color w:val="auto"/>
              </w:rPr>
              <w:t>2003</w:t>
            </w: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66</w:t>
            </w:r>
          </w:p>
        </w:tc>
        <w:tc>
          <w:tcPr>
            <w:tcW w:w="1960" w:type="dxa"/>
            <w:vAlign w:val="bottom"/>
          </w:tcPr>
          <w:p>
            <w:pPr>
              <w:jc w:val="right"/>
              <w:ind w:right="423"/>
              <w:spacing w:after="0" w:line="220" w:lineRule="exact"/>
              <w:rPr>
                <w:sz w:val="20"/>
                <w:szCs w:val="20"/>
                <w:color w:val="auto"/>
              </w:rPr>
            </w:pPr>
            <w:r>
              <w:rPr>
                <w:rFonts w:ascii="Arial" w:cs="Arial" w:eastAsia="Arial" w:hAnsi="Arial"/>
                <w:sz w:val="15"/>
                <w:szCs w:val="15"/>
                <w:color w:val="auto"/>
              </w:rPr>
              <w:t>150,061</w:t>
            </w:r>
            <w:r>
              <w:rPr>
                <w:rFonts w:ascii="Arial" w:cs="Arial" w:eastAsia="Arial" w:hAnsi="Arial"/>
                <w:sz w:val="24"/>
                <w:szCs w:val="24"/>
                <w:color w:val="auto"/>
                <w:vertAlign w:val="superscript"/>
              </w:rPr>
              <w:t>(2)</w:t>
            </w:r>
          </w:p>
        </w:tc>
        <w:tc>
          <w:tcPr>
            <w:tcW w:w="20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20"/>
        </w:trPr>
        <w:tc>
          <w:tcPr>
            <w:tcW w:w="1760" w:type="dxa"/>
            <w:vAlign w:val="bottom"/>
            <w:shd w:val="clear" w:color="auto" w:fill="DFE4EA"/>
          </w:tcPr>
          <w:p>
            <w:pPr>
              <w:spacing w:after="0"/>
              <w:rPr>
                <w:sz w:val="20"/>
                <w:szCs w:val="20"/>
                <w:color w:val="auto"/>
              </w:rPr>
            </w:pPr>
            <w:r>
              <w:rPr>
                <w:rFonts w:ascii="Arial" w:cs="Arial" w:eastAsia="Arial" w:hAnsi="Arial"/>
                <w:sz w:val="15"/>
                <w:szCs w:val="15"/>
                <w:color w:val="auto"/>
              </w:rPr>
              <w:t>Marna P. Borgstrom</w:t>
            </w:r>
          </w:p>
        </w:tc>
        <w:tc>
          <w:tcPr>
            <w:tcW w:w="108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2018</w:t>
            </w:r>
          </w:p>
        </w:tc>
        <w:tc>
          <w:tcPr>
            <w:tcW w:w="86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5"/>
              </w:rPr>
              <w:t>72</w:t>
            </w:r>
          </w:p>
        </w:tc>
        <w:tc>
          <w:tcPr>
            <w:tcW w:w="1960" w:type="dxa"/>
            <w:vAlign w:val="bottom"/>
            <w:shd w:val="clear" w:color="auto" w:fill="DFE4EA"/>
          </w:tcPr>
          <w:p>
            <w:pPr>
              <w:jc w:val="right"/>
              <w:ind w:right="423"/>
              <w:spacing w:after="0" w:line="220" w:lineRule="exact"/>
              <w:rPr>
                <w:sz w:val="20"/>
                <w:szCs w:val="20"/>
                <w:color w:val="auto"/>
              </w:rPr>
            </w:pPr>
            <w:r>
              <w:rPr>
                <w:rFonts w:ascii="Arial" w:cs="Arial" w:eastAsia="Arial" w:hAnsi="Arial"/>
                <w:sz w:val="15"/>
                <w:szCs w:val="15"/>
                <w:color w:val="auto"/>
              </w:rPr>
              <w:t>49,088</w:t>
            </w:r>
            <w:r>
              <w:rPr>
                <w:rFonts w:ascii="Arial" w:cs="Arial" w:eastAsia="Arial" w:hAnsi="Arial"/>
                <w:sz w:val="24"/>
                <w:szCs w:val="24"/>
                <w:color w:val="auto"/>
                <w:vertAlign w:val="superscript"/>
              </w:rPr>
              <w:t>(2)</w:t>
            </w:r>
          </w:p>
        </w:tc>
        <w:tc>
          <w:tcPr>
            <w:tcW w:w="20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r>
      <w:tr>
        <w:trPr>
          <w:trHeight w:val="220"/>
        </w:trPr>
        <w:tc>
          <w:tcPr>
            <w:tcW w:w="1760" w:type="dxa"/>
            <w:vAlign w:val="bottom"/>
          </w:tcPr>
          <w:p>
            <w:pPr>
              <w:spacing w:after="0"/>
              <w:rPr>
                <w:sz w:val="20"/>
                <w:szCs w:val="20"/>
                <w:color w:val="auto"/>
              </w:rPr>
            </w:pPr>
            <w:r>
              <w:rPr>
                <w:rFonts w:ascii="Arial" w:cs="Arial" w:eastAsia="Arial" w:hAnsi="Arial"/>
                <w:sz w:val="15"/>
                <w:szCs w:val="15"/>
                <w:color w:val="auto"/>
              </w:rPr>
              <w:t>James W. Bullock</w:t>
            </w:r>
          </w:p>
        </w:tc>
        <w:tc>
          <w:tcPr>
            <w:tcW w:w="1080" w:type="dxa"/>
            <w:vAlign w:val="bottom"/>
          </w:tcPr>
          <w:p>
            <w:pPr>
              <w:jc w:val="center"/>
              <w:spacing w:after="0"/>
              <w:rPr>
                <w:sz w:val="20"/>
                <w:szCs w:val="20"/>
                <w:color w:val="auto"/>
              </w:rPr>
            </w:pPr>
            <w:r>
              <w:rPr>
                <w:rFonts w:ascii="Arial" w:cs="Arial" w:eastAsia="Arial" w:hAnsi="Arial"/>
                <w:sz w:val="15"/>
                <w:szCs w:val="15"/>
                <w:color w:val="auto"/>
              </w:rPr>
              <w:t>2016</w:t>
            </w: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69</w:t>
            </w:r>
          </w:p>
        </w:tc>
        <w:tc>
          <w:tcPr>
            <w:tcW w:w="1960" w:type="dxa"/>
            <w:vAlign w:val="bottom"/>
          </w:tcPr>
          <w:p>
            <w:pPr>
              <w:jc w:val="right"/>
              <w:ind w:right="423"/>
              <w:spacing w:after="0" w:line="220" w:lineRule="exact"/>
              <w:rPr>
                <w:sz w:val="20"/>
                <w:szCs w:val="20"/>
                <w:color w:val="auto"/>
              </w:rPr>
            </w:pPr>
            <w:r>
              <w:rPr>
                <w:rFonts w:ascii="Arial" w:cs="Arial" w:eastAsia="Arial" w:hAnsi="Arial"/>
                <w:sz w:val="15"/>
                <w:szCs w:val="15"/>
                <w:color w:val="auto"/>
              </w:rPr>
              <w:t>68,647</w:t>
            </w:r>
            <w:r>
              <w:rPr>
                <w:rFonts w:ascii="Arial" w:cs="Arial" w:eastAsia="Arial" w:hAnsi="Arial"/>
                <w:sz w:val="24"/>
                <w:szCs w:val="24"/>
                <w:color w:val="auto"/>
                <w:vertAlign w:val="superscript"/>
              </w:rPr>
              <w:t>(2)</w:t>
            </w:r>
          </w:p>
        </w:tc>
        <w:tc>
          <w:tcPr>
            <w:tcW w:w="20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20"/>
        </w:trPr>
        <w:tc>
          <w:tcPr>
            <w:tcW w:w="1760" w:type="dxa"/>
            <w:vAlign w:val="bottom"/>
            <w:shd w:val="clear" w:color="auto" w:fill="DFE4EA"/>
          </w:tcPr>
          <w:p>
            <w:pPr>
              <w:spacing w:after="0"/>
              <w:rPr>
                <w:sz w:val="20"/>
                <w:szCs w:val="20"/>
                <w:color w:val="auto"/>
              </w:rPr>
            </w:pPr>
            <w:r>
              <w:rPr>
                <w:rFonts w:ascii="Arial" w:cs="Arial" w:eastAsia="Arial" w:hAnsi="Arial"/>
                <w:sz w:val="15"/>
                <w:szCs w:val="15"/>
                <w:color w:val="auto"/>
              </w:rPr>
              <w:t>Jeffrey H. Burbank</w:t>
            </w:r>
          </w:p>
        </w:tc>
        <w:tc>
          <w:tcPr>
            <w:tcW w:w="108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2017</w:t>
            </w:r>
          </w:p>
        </w:tc>
        <w:tc>
          <w:tcPr>
            <w:tcW w:w="86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5"/>
              </w:rPr>
              <w:t>63</w:t>
            </w:r>
          </w:p>
        </w:tc>
        <w:tc>
          <w:tcPr>
            <w:tcW w:w="1960" w:type="dxa"/>
            <w:vAlign w:val="bottom"/>
            <w:shd w:val="clear" w:color="auto" w:fill="DFE4EA"/>
          </w:tcPr>
          <w:p>
            <w:pPr>
              <w:jc w:val="right"/>
              <w:ind w:right="423"/>
              <w:spacing w:after="0" w:line="220" w:lineRule="exact"/>
              <w:rPr>
                <w:sz w:val="20"/>
                <w:szCs w:val="20"/>
                <w:color w:val="auto"/>
              </w:rPr>
            </w:pPr>
            <w:r>
              <w:rPr>
                <w:rFonts w:ascii="Arial" w:cs="Arial" w:eastAsia="Arial" w:hAnsi="Arial"/>
                <w:sz w:val="15"/>
                <w:szCs w:val="15"/>
                <w:color w:val="auto"/>
              </w:rPr>
              <w:t>53,796</w:t>
            </w:r>
            <w:r>
              <w:rPr>
                <w:rFonts w:ascii="Arial" w:cs="Arial" w:eastAsia="Arial" w:hAnsi="Arial"/>
                <w:sz w:val="24"/>
                <w:szCs w:val="24"/>
                <w:color w:val="auto"/>
                <w:vertAlign w:val="superscript"/>
              </w:rPr>
              <w:t>(2)</w:t>
            </w:r>
          </w:p>
        </w:tc>
        <w:tc>
          <w:tcPr>
            <w:tcW w:w="20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r>
      <w:tr>
        <w:trPr>
          <w:trHeight w:val="220"/>
        </w:trPr>
        <w:tc>
          <w:tcPr>
            <w:tcW w:w="1760" w:type="dxa"/>
            <w:vAlign w:val="bottom"/>
          </w:tcPr>
          <w:p>
            <w:pPr>
              <w:spacing w:after="0"/>
              <w:rPr>
                <w:sz w:val="20"/>
                <w:szCs w:val="20"/>
                <w:color w:val="auto"/>
              </w:rPr>
            </w:pPr>
            <w:r>
              <w:rPr>
                <w:rFonts w:ascii="Arial" w:cs="Arial" w:eastAsia="Arial" w:hAnsi="Arial"/>
                <w:sz w:val="15"/>
                <w:szCs w:val="15"/>
                <w:color w:val="auto"/>
              </w:rPr>
              <w:t>Elizabeth A. Hoff</w:t>
            </w:r>
          </w:p>
        </w:tc>
        <w:tc>
          <w:tcPr>
            <w:tcW w:w="1080" w:type="dxa"/>
            <w:vAlign w:val="bottom"/>
          </w:tcPr>
          <w:p>
            <w:pPr>
              <w:jc w:val="center"/>
              <w:spacing w:after="0"/>
              <w:rPr>
                <w:sz w:val="20"/>
                <w:szCs w:val="20"/>
                <w:color w:val="auto"/>
              </w:rPr>
            </w:pPr>
            <w:r>
              <w:rPr>
                <w:rFonts w:ascii="Arial" w:cs="Arial" w:eastAsia="Arial" w:hAnsi="Arial"/>
                <w:sz w:val="15"/>
                <w:szCs w:val="15"/>
                <w:color w:val="auto"/>
              </w:rPr>
              <w:t>2022</w:t>
            </w: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60</w:t>
            </w:r>
          </w:p>
        </w:tc>
        <w:tc>
          <w:tcPr>
            <w:tcW w:w="1960" w:type="dxa"/>
            <w:vAlign w:val="bottom"/>
          </w:tcPr>
          <w:p>
            <w:pPr>
              <w:jc w:val="right"/>
              <w:ind w:right="423"/>
              <w:spacing w:after="0" w:line="220" w:lineRule="exact"/>
              <w:rPr>
                <w:sz w:val="20"/>
                <w:szCs w:val="20"/>
                <w:color w:val="auto"/>
              </w:rPr>
            </w:pPr>
            <w:r>
              <w:rPr>
                <w:rFonts w:ascii="Arial" w:cs="Arial" w:eastAsia="Arial" w:hAnsi="Arial"/>
                <w:sz w:val="15"/>
                <w:szCs w:val="15"/>
                <w:color w:val="auto"/>
              </w:rPr>
              <w:t>27,189</w:t>
            </w:r>
            <w:r>
              <w:rPr>
                <w:rFonts w:ascii="Arial" w:cs="Arial" w:eastAsia="Arial" w:hAnsi="Arial"/>
                <w:sz w:val="24"/>
                <w:szCs w:val="24"/>
                <w:color w:val="auto"/>
                <w:vertAlign w:val="superscript"/>
              </w:rPr>
              <w:t>(2)</w:t>
            </w:r>
          </w:p>
        </w:tc>
        <w:tc>
          <w:tcPr>
            <w:tcW w:w="20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20"/>
        </w:trPr>
        <w:tc>
          <w:tcPr>
            <w:tcW w:w="1760" w:type="dxa"/>
            <w:vAlign w:val="bottom"/>
            <w:shd w:val="clear" w:color="auto" w:fill="DFE4EA"/>
          </w:tcPr>
          <w:p>
            <w:pPr>
              <w:spacing w:after="0"/>
              <w:rPr>
                <w:sz w:val="20"/>
                <w:szCs w:val="20"/>
                <w:color w:val="auto"/>
              </w:rPr>
            </w:pPr>
            <w:r>
              <w:rPr>
                <w:rFonts w:ascii="Arial" w:cs="Arial" w:eastAsia="Arial" w:hAnsi="Arial"/>
                <w:sz w:val="15"/>
                <w:szCs w:val="15"/>
                <w:color w:val="auto"/>
              </w:rPr>
              <w:t>J. Patrick Mackin</w:t>
            </w:r>
          </w:p>
        </w:tc>
        <w:tc>
          <w:tcPr>
            <w:tcW w:w="108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2014</w:t>
            </w:r>
          </w:p>
        </w:tc>
        <w:tc>
          <w:tcPr>
            <w:tcW w:w="86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5"/>
              </w:rPr>
              <w:t>59</w:t>
            </w:r>
          </w:p>
        </w:tc>
        <w:tc>
          <w:tcPr>
            <w:tcW w:w="1960" w:type="dxa"/>
            <w:vAlign w:val="bottom"/>
            <w:shd w:val="clear" w:color="auto" w:fill="DFE4EA"/>
          </w:tcPr>
          <w:p>
            <w:pPr>
              <w:jc w:val="right"/>
              <w:ind w:right="423"/>
              <w:spacing w:after="0" w:line="220" w:lineRule="exact"/>
              <w:rPr>
                <w:sz w:val="20"/>
                <w:szCs w:val="20"/>
                <w:color w:val="auto"/>
              </w:rPr>
            </w:pPr>
            <w:r>
              <w:rPr>
                <w:rFonts w:ascii="Arial" w:cs="Arial" w:eastAsia="Arial" w:hAnsi="Arial"/>
                <w:sz w:val="15"/>
                <w:szCs w:val="15"/>
                <w:color w:val="auto"/>
              </w:rPr>
              <w:t>1,417,539</w:t>
            </w:r>
            <w:r>
              <w:rPr>
                <w:rFonts w:ascii="Arial" w:cs="Arial" w:eastAsia="Arial" w:hAnsi="Arial"/>
                <w:sz w:val="24"/>
                <w:szCs w:val="24"/>
                <w:color w:val="auto"/>
                <w:vertAlign w:val="superscript"/>
              </w:rPr>
              <w:t>(3)</w:t>
            </w:r>
          </w:p>
        </w:tc>
        <w:tc>
          <w:tcPr>
            <w:tcW w:w="20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2.9</w:t>
            </w:r>
          </w:p>
        </w:tc>
      </w:tr>
      <w:tr>
        <w:trPr>
          <w:trHeight w:val="220"/>
        </w:trPr>
        <w:tc>
          <w:tcPr>
            <w:tcW w:w="1760" w:type="dxa"/>
            <w:vAlign w:val="bottom"/>
          </w:tcPr>
          <w:p>
            <w:pPr>
              <w:spacing w:after="0"/>
              <w:rPr>
                <w:sz w:val="20"/>
                <w:szCs w:val="20"/>
                <w:color w:val="auto"/>
              </w:rPr>
            </w:pPr>
            <w:r>
              <w:rPr>
                <w:rFonts w:ascii="Arial" w:cs="Arial" w:eastAsia="Arial" w:hAnsi="Arial"/>
                <w:sz w:val="15"/>
                <w:szCs w:val="15"/>
                <w:color w:val="auto"/>
              </w:rPr>
              <w:t>Jon W. Salveson</w:t>
            </w:r>
          </w:p>
        </w:tc>
        <w:tc>
          <w:tcPr>
            <w:tcW w:w="1080" w:type="dxa"/>
            <w:vAlign w:val="bottom"/>
          </w:tcPr>
          <w:p>
            <w:pPr>
              <w:jc w:val="center"/>
              <w:spacing w:after="0"/>
              <w:rPr>
                <w:sz w:val="20"/>
                <w:szCs w:val="20"/>
                <w:color w:val="auto"/>
              </w:rPr>
            </w:pPr>
            <w:r>
              <w:rPr>
                <w:rFonts w:ascii="Arial" w:cs="Arial" w:eastAsia="Arial" w:hAnsi="Arial"/>
                <w:sz w:val="15"/>
                <w:szCs w:val="15"/>
                <w:color w:val="auto"/>
              </w:rPr>
              <w:t>2012</w:t>
            </w: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61</w:t>
            </w:r>
          </w:p>
        </w:tc>
        <w:tc>
          <w:tcPr>
            <w:tcW w:w="1960" w:type="dxa"/>
            <w:vAlign w:val="bottom"/>
          </w:tcPr>
          <w:p>
            <w:pPr>
              <w:jc w:val="right"/>
              <w:ind w:right="423"/>
              <w:spacing w:after="0" w:line="220" w:lineRule="exact"/>
              <w:rPr>
                <w:sz w:val="20"/>
                <w:szCs w:val="20"/>
                <w:color w:val="auto"/>
              </w:rPr>
            </w:pPr>
            <w:r>
              <w:rPr>
                <w:rFonts w:ascii="Arial" w:cs="Arial" w:eastAsia="Arial" w:hAnsi="Arial"/>
                <w:sz w:val="15"/>
                <w:szCs w:val="15"/>
                <w:color w:val="auto"/>
              </w:rPr>
              <w:t>129,840</w:t>
            </w:r>
            <w:r>
              <w:rPr>
                <w:rFonts w:ascii="Arial" w:cs="Arial" w:eastAsia="Arial" w:hAnsi="Arial"/>
                <w:sz w:val="24"/>
                <w:szCs w:val="24"/>
                <w:color w:val="auto"/>
                <w:vertAlign w:val="superscript"/>
              </w:rPr>
              <w:t>(2)</w:t>
            </w:r>
          </w:p>
        </w:tc>
        <w:tc>
          <w:tcPr>
            <w:tcW w:w="20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20"/>
        </w:trPr>
        <w:tc>
          <w:tcPr>
            <w:tcW w:w="1760" w:type="dxa"/>
            <w:vAlign w:val="bottom"/>
            <w:shd w:val="clear" w:color="auto" w:fill="DFE4EA"/>
          </w:tcPr>
          <w:p>
            <w:pPr>
              <w:spacing w:after="0"/>
              <w:rPr>
                <w:sz w:val="20"/>
                <w:szCs w:val="20"/>
                <w:color w:val="auto"/>
              </w:rPr>
            </w:pPr>
            <w:r>
              <w:rPr>
                <w:rFonts w:ascii="Arial" w:cs="Arial" w:eastAsia="Arial" w:hAnsi="Arial"/>
                <w:sz w:val="15"/>
                <w:szCs w:val="15"/>
                <w:color w:val="auto"/>
              </w:rPr>
              <w:t>Anthony B. Semedo</w:t>
            </w:r>
          </w:p>
        </w:tc>
        <w:tc>
          <w:tcPr>
            <w:tcW w:w="108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2021</w:t>
            </w:r>
          </w:p>
        </w:tc>
        <w:tc>
          <w:tcPr>
            <w:tcW w:w="86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5"/>
              </w:rPr>
              <w:t>74</w:t>
            </w:r>
          </w:p>
        </w:tc>
        <w:tc>
          <w:tcPr>
            <w:tcW w:w="1960" w:type="dxa"/>
            <w:vAlign w:val="bottom"/>
            <w:shd w:val="clear" w:color="auto" w:fill="DFE4EA"/>
          </w:tcPr>
          <w:p>
            <w:pPr>
              <w:jc w:val="right"/>
              <w:ind w:right="423"/>
              <w:spacing w:after="0" w:line="220" w:lineRule="exact"/>
              <w:rPr>
                <w:sz w:val="20"/>
                <w:szCs w:val="20"/>
                <w:color w:val="auto"/>
              </w:rPr>
            </w:pPr>
            <w:r>
              <w:rPr>
                <w:rFonts w:ascii="Arial" w:cs="Arial" w:eastAsia="Arial" w:hAnsi="Arial"/>
                <w:sz w:val="15"/>
                <w:szCs w:val="15"/>
                <w:color w:val="auto"/>
              </w:rPr>
              <w:t>39,984</w:t>
            </w:r>
            <w:r>
              <w:rPr>
                <w:rFonts w:ascii="Arial" w:cs="Arial" w:eastAsia="Arial" w:hAnsi="Arial"/>
                <w:sz w:val="24"/>
                <w:szCs w:val="24"/>
                <w:color w:val="auto"/>
                <w:vertAlign w:val="superscript"/>
              </w:rPr>
              <w:t>(2)</w:t>
            </w:r>
          </w:p>
        </w:tc>
        <w:tc>
          <w:tcPr>
            <w:tcW w:w="20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r>
    </w:tbl>
    <w:p>
      <w:pPr>
        <w:spacing w:after="0" w:line="138" w:lineRule="exact"/>
        <w:rPr>
          <w:sz w:val="20"/>
          <w:szCs w:val="20"/>
          <w:color w:val="auto"/>
        </w:rPr>
      </w:pPr>
    </w:p>
    <w:p>
      <w:pPr>
        <w:ind w:left="1340" w:hanging="254"/>
        <w:spacing w:after="0"/>
        <w:tabs>
          <w:tab w:leader="none" w:pos="1340" w:val="left"/>
        </w:tabs>
        <w:numPr>
          <w:ilvl w:val="0"/>
          <w:numId w:val="10"/>
        </w:numPr>
        <w:rPr>
          <w:rFonts w:ascii="Arial" w:cs="Arial" w:eastAsia="Arial" w:hAnsi="Arial"/>
          <w:sz w:val="14"/>
          <w:szCs w:val="14"/>
          <w:i w:val="1"/>
          <w:iCs w:val="1"/>
          <w:color w:val="auto"/>
        </w:rPr>
      </w:pPr>
      <w:r>
        <w:rPr>
          <w:rFonts w:ascii="Arial" w:cs="Arial" w:eastAsia="Arial" w:hAnsi="Arial"/>
          <w:sz w:val="14"/>
          <w:szCs w:val="14"/>
          <w:color w:val="auto"/>
        </w:rPr>
        <w:t>Ownership represents less than 1% of the outstanding shares of Artivion common stock.</w:t>
      </w:r>
    </w:p>
    <w:p>
      <w:pPr>
        <w:spacing w:after="0" w:line="72" w:lineRule="exact"/>
        <w:rPr>
          <w:sz w:val="20"/>
          <w:szCs w:val="20"/>
          <w:color w:val="auto"/>
        </w:rPr>
      </w:pPr>
    </w:p>
    <w:p>
      <w:pPr>
        <w:ind w:left="1340" w:hanging="254"/>
        <w:spacing w:after="0"/>
        <w:tabs>
          <w:tab w:leader="none" w:pos="13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Except as otherwise noted, the nature of the beneficial ownership for all shares is sole voting and investment power.</w:t>
      </w:r>
    </w:p>
    <w:p>
      <w:pPr>
        <w:spacing w:after="0" w:line="106" w:lineRule="exact"/>
        <w:rPr>
          <w:rFonts w:ascii="Arial" w:cs="Arial" w:eastAsia="Arial" w:hAnsi="Arial"/>
          <w:sz w:val="22"/>
          <w:szCs w:val="22"/>
          <w:color w:val="auto"/>
          <w:vertAlign w:val="superscript"/>
        </w:rPr>
      </w:pPr>
    </w:p>
    <w:p>
      <w:pPr>
        <w:ind w:left="1340" w:hanging="254"/>
        <w:spacing w:after="0" w:line="200" w:lineRule="auto"/>
        <w:tabs>
          <w:tab w:leader="none" w:pos="13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Includes 6,325 shares of unvested restricted stock granted on May 22, 2025. For Mr. Semedo, the amount includes 600 shares that Mr. Semedo owns indirectly through his spouse.</w:t>
      </w:r>
    </w:p>
    <w:p>
      <w:pPr>
        <w:spacing w:after="0" w:line="118" w:lineRule="exact"/>
        <w:rPr>
          <w:rFonts w:ascii="Arial" w:cs="Arial" w:eastAsia="Arial" w:hAnsi="Arial"/>
          <w:sz w:val="22"/>
          <w:szCs w:val="22"/>
          <w:color w:val="auto"/>
          <w:vertAlign w:val="superscript"/>
        </w:rPr>
      </w:pPr>
    </w:p>
    <w:p>
      <w:pPr>
        <w:jc w:val="both"/>
        <w:ind w:left="1340" w:hanging="254"/>
        <w:spacing w:after="0" w:line="218" w:lineRule="auto"/>
        <w:tabs>
          <w:tab w:leader="none" w:pos="13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Amount includes 586,796 options that are either presently exercisable or will become exercisable within 60 days after March 16, 2026. This amount also includes 192,379 shares of unvested restricted stock subject to forfeiture held by Mr. Mackin as of March 16, 2026. This amount does not include 116,532 shares earned under 2024 and 2025 performance stock unit awards that had not vested as of March 16, 2026 and that will not vest within 60 days thereafter.</w:t>
      </w:r>
    </w:p>
    <w:p>
      <w:pPr>
        <w:spacing w:after="0" w:line="51" w:lineRule="exact"/>
        <w:rPr>
          <w:rFonts w:ascii="Arial" w:cs="Arial" w:eastAsia="Arial" w:hAnsi="Arial"/>
          <w:sz w:val="22"/>
          <w:szCs w:val="22"/>
          <w:color w:val="auto"/>
          <w:vertAlign w:val="superscript"/>
        </w:rPr>
      </w:pPr>
    </w:p>
    <w:p>
      <w:pPr>
        <w:ind w:left="1340" w:hanging="254"/>
        <w:spacing w:after="0"/>
        <w:tabs>
          <w:tab w:leader="none" w:pos="13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There were 48,495,993 outstanding shares of Artivion common stock as of March 16, 2026, the record date.</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2026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86995</wp:posOffset>
            </wp:positionV>
            <wp:extent cx="6068695" cy="15760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8695" cy="1576070"/>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496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2026 Director Nominee Skills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CEO Experience</w:t>
            </w:r>
          </w:p>
        </w:tc>
        <w:tc>
          <w:tcPr>
            <w:tcW w:w="160" w:type="dxa"/>
            <w:vAlign w:val="bottom"/>
          </w:tcPr>
          <w:p>
            <w:pPr>
              <w:spacing w:after="0"/>
              <w:rPr>
                <w:sz w:val="16"/>
                <w:szCs w:val="16"/>
                <w:color w:val="auto"/>
              </w:rPr>
            </w:pPr>
          </w:p>
        </w:tc>
        <w:tc>
          <w:tcPr>
            <w:tcW w:w="2400" w:type="dxa"/>
            <w:vAlign w:val="bottom"/>
            <w:shd w:val="clear" w:color="auto" w:fill="2B4B74"/>
          </w:tcPr>
          <w:p>
            <w:pPr>
              <w:jc w:val="center"/>
              <w:spacing w:after="0"/>
              <w:rPr>
                <w:sz w:val="20"/>
                <w:szCs w:val="20"/>
                <w:color w:val="auto"/>
              </w:rPr>
            </w:pPr>
            <w:r>
              <w:rPr>
                <w:rFonts w:ascii="Arial" w:cs="Arial" w:eastAsia="Arial" w:hAnsi="Arial"/>
                <w:sz w:val="12"/>
                <w:szCs w:val="12"/>
                <w:color w:val="FFFFFF"/>
              </w:rPr>
              <w:t>Financial and Investor</w:t>
            </w:r>
          </w:p>
        </w:tc>
        <w:tc>
          <w:tcPr>
            <w:tcW w:w="140" w:type="dxa"/>
            <w:vAlign w:val="bottom"/>
          </w:tcPr>
          <w:p>
            <w:pPr>
              <w:spacing w:after="0"/>
              <w:rPr>
                <w:sz w:val="16"/>
                <w:szCs w:val="16"/>
                <w:color w:val="auto"/>
              </w:rPr>
            </w:pPr>
          </w:p>
        </w:tc>
        <w:tc>
          <w:tcPr>
            <w:tcW w:w="2380" w:type="dxa"/>
            <w:vAlign w:val="bottom"/>
            <w:shd w:val="clear" w:color="auto" w:fill="2B4B74"/>
          </w:tcPr>
          <w:p>
            <w:pPr>
              <w:jc w:val="center"/>
              <w:spacing w:after="0"/>
              <w:rPr>
                <w:sz w:val="20"/>
                <w:szCs w:val="20"/>
                <w:color w:val="auto"/>
              </w:rPr>
            </w:pPr>
            <w:r>
              <w:rPr>
                <w:rFonts w:ascii="Arial" w:cs="Arial" w:eastAsia="Arial" w:hAnsi="Arial"/>
                <w:sz w:val="12"/>
                <w:szCs w:val="12"/>
                <w:color w:val="FFFFFF"/>
              </w:rPr>
              <w:t>Medical Device and</w:t>
            </w:r>
          </w:p>
        </w:tc>
        <w:tc>
          <w:tcPr>
            <w:tcW w:w="140" w:type="dxa"/>
            <w:vAlign w:val="bottom"/>
          </w:tcPr>
          <w:p>
            <w:pPr>
              <w:spacing w:after="0"/>
              <w:rPr>
                <w:sz w:val="16"/>
                <w:szCs w:val="16"/>
                <w:color w:val="auto"/>
              </w:rPr>
            </w:pPr>
          </w:p>
        </w:tc>
        <w:tc>
          <w:tcPr>
            <w:tcW w:w="2400" w:type="dxa"/>
            <w:vAlign w:val="bottom"/>
            <w:shd w:val="clear" w:color="auto" w:fill="2B4B74"/>
          </w:tcPr>
          <w:p>
            <w:pPr>
              <w:jc w:val="center"/>
              <w:spacing w:after="0"/>
              <w:rPr>
                <w:sz w:val="20"/>
                <w:szCs w:val="20"/>
                <w:color w:val="auto"/>
              </w:rPr>
            </w:pPr>
            <w:r>
              <w:rPr>
                <w:rFonts w:ascii="Arial" w:cs="Arial" w:eastAsia="Arial" w:hAnsi="Arial"/>
                <w:sz w:val="12"/>
                <w:szCs w:val="12"/>
                <w:color w:val="FFFFFF"/>
              </w:rPr>
              <w:t>Legal, Compliance, and</w:t>
            </w:r>
          </w:p>
        </w:tc>
        <w:tc>
          <w:tcPr>
            <w:tcW w:w="0" w:type="dxa"/>
            <w:vAlign w:val="bottom"/>
          </w:tcPr>
          <w:p>
            <w:pPr>
              <w:spacing w:after="0"/>
              <w:rPr>
                <w:sz w:val="1"/>
                <w:szCs w:val="1"/>
                <w:color w:val="auto"/>
              </w:rPr>
            </w:pPr>
          </w:p>
        </w:tc>
      </w:tr>
      <w:tr>
        <w:trPr>
          <w:trHeight w:val="94"/>
        </w:trPr>
        <w:tc>
          <w:tcPr>
            <w:tcW w:w="2400" w:type="dxa"/>
            <w:vAlign w:val="bottom"/>
            <w:vMerge w:val="continue"/>
            <w:shd w:val="clear" w:color="auto" w:fill="2B4B74"/>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Relations Expertise</w:t>
            </w:r>
          </w:p>
        </w:tc>
        <w:tc>
          <w:tcPr>
            <w:tcW w:w="140" w:type="dxa"/>
            <w:vAlign w:val="bottom"/>
          </w:tcPr>
          <w:p>
            <w:pPr>
              <w:spacing w:after="0"/>
              <w:rPr>
                <w:sz w:val="8"/>
                <w:szCs w:val="8"/>
                <w:color w:val="auto"/>
              </w:rPr>
            </w:pPr>
          </w:p>
        </w:tc>
        <w:tc>
          <w:tcPr>
            <w:tcW w:w="238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Healthcare Expertise</w:t>
            </w:r>
          </w:p>
        </w:tc>
        <w:tc>
          <w:tcPr>
            <w:tcW w:w="140" w:type="dxa"/>
            <w:vAlign w:val="bottom"/>
          </w:tcPr>
          <w:p>
            <w:pPr>
              <w:spacing w:after="0"/>
              <w:rPr>
                <w:sz w:val="8"/>
                <w:szCs w:val="8"/>
                <w:color w:val="auto"/>
              </w:rPr>
            </w:pPr>
          </w:p>
        </w:tc>
        <w:tc>
          <w:tcPr>
            <w:tcW w:w="240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Governance Experience</w:t>
            </w:r>
          </w:p>
        </w:tc>
        <w:tc>
          <w:tcPr>
            <w:tcW w:w="0" w:type="dxa"/>
            <w:vAlign w:val="bottom"/>
          </w:tcPr>
          <w:p>
            <w:pPr>
              <w:spacing w:after="0"/>
              <w:rPr>
                <w:sz w:val="1"/>
                <w:szCs w:val="1"/>
                <w:color w:val="auto"/>
              </w:rPr>
            </w:pPr>
          </w:p>
        </w:tc>
      </w:tr>
      <w:tr>
        <w:trPr>
          <w:trHeight w:val="102"/>
        </w:trPr>
        <w:tc>
          <w:tcPr>
            <w:tcW w:w="2400" w:type="dxa"/>
            <w:vAlign w:val="bottom"/>
            <w:tcBorders>
              <w:bottom w:val="single" w:sz="8" w:color="2B4B74"/>
            </w:tcBorders>
            <w:shd w:val="clear" w:color="auto" w:fill="2B4B74"/>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tcBorders>
              <w:bottom w:val="single" w:sz="8" w:color="2B4B74"/>
            </w:tcBorders>
            <w:vMerge w:val="continue"/>
            <w:shd w:val="clear" w:color="auto" w:fill="2B4B74"/>
          </w:tcPr>
          <w:p>
            <w:pPr>
              <w:spacing w:after="0"/>
              <w:rPr>
                <w:sz w:val="8"/>
                <w:szCs w:val="8"/>
                <w:color w:val="auto"/>
              </w:rPr>
            </w:pPr>
          </w:p>
        </w:tc>
        <w:tc>
          <w:tcPr>
            <w:tcW w:w="140" w:type="dxa"/>
            <w:vAlign w:val="bottom"/>
          </w:tcPr>
          <w:p>
            <w:pPr>
              <w:spacing w:after="0"/>
              <w:rPr>
                <w:sz w:val="8"/>
                <w:szCs w:val="8"/>
                <w:color w:val="auto"/>
              </w:rPr>
            </w:pPr>
          </w:p>
        </w:tc>
        <w:tc>
          <w:tcPr>
            <w:tcW w:w="2380" w:type="dxa"/>
            <w:vAlign w:val="bottom"/>
            <w:tcBorders>
              <w:bottom w:val="single" w:sz="8" w:color="2B4B74"/>
            </w:tcBorders>
            <w:vMerge w:val="continue"/>
            <w:shd w:val="clear" w:color="auto" w:fill="2B4B74"/>
          </w:tcPr>
          <w:p>
            <w:pPr>
              <w:spacing w:after="0"/>
              <w:rPr>
                <w:sz w:val="8"/>
                <w:szCs w:val="8"/>
                <w:color w:val="auto"/>
              </w:rPr>
            </w:pPr>
          </w:p>
        </w:tc>
        <w:tc>
          <w:tcPr>
            <w:tcW w:w="140" w:type="dxa"/>
            <w:vAlign w:val="bottom"/>
          </w:tcPr>
          <w:p>
            <w:pPr>
              <w:spacing w:after="0"/>
              <w:rPr>
                <w:sz w:val="8"/>
                <w:szCs w:val="8"/>
                <w:color w:val="auto"/>
              </w:rPr>
            </w:pPr>
          </w:p>
        </w:tc>
        <w:tc>
          <w:tcPr>
            <w:tcW w:w="2400" w:type="dxa"/>
            <w:vAlign w:val="bottom"/>
            <w:tcBorders>
              <w:bottom w:val="single" w:sz="8" w:color="2B4B74"/>
            </w:tcBorders>
            <w:vMerge w:val="continue"/>
            <w:shd w:val="clear" w:color="auto" w:fill="2B4B74"/>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40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Sustainability Expertise</w:t>
            </w:r>
          </w:p>
        </w:tc>
        <w:tc>
          <w:tcPr>
            <w:tcW w:w="160" w:type="dxa"/>
            <w:vAlign w:val="bottom"/>
          </w:tcPr>
          <w:p>
            <w:pPr>
              <w:spacing w:after="0"/>
              <w:rPr>
                <w:sz w:val="18"/>
                <w:szCs w:val="18"/>
                <w:color w:val="auto"/>
              </w:rPr>
            </w:pPr>
          </w:p>
        </w:tc>
        <w:tc>
          <w:tcPr>
            <w:tcW w:w="2400" w:type="dxa"/>
            <w:vAlign w:val="bottom"/>
            <w:shd w:val="clear" w:color="auto" w:fill="2B4B74"/>
          </w:tcPr>
          <w:p>
            <w:pPr>
              <w:jc w:val="center"/>
              <w:spacing w:after="0"/>
              <w:rPr>
                <w:sz w:val="20"/>
                <w:szCs w:val="20"/>
                <w:color w:val="auto"/>
              </w:rPr>
            </w:pPr>
            <w:r>
              <w:rPr>
                <w:rFonts w:ascii="Arial" w:cs="Arial" w:eastAsia="Arial" w:hAnsi="Arial"/>
                <w:sz w:val="12"/>
                <w:szCs w:val="12"/>
                <w:color w:val="FFFFFF"/>
              </w:rPr>
              <w:t>Regulatory, Quality, and Patient (Product)</w:t>
            </w:r>
          </w:p>
        </w:tc>
        <w:tc>
          <w:tcPr>
            <w:tcW w:w="140" w:type="dxa"/>
            <w:vAlign w:val="bottom"/>
          </w:tcPr>
          <w:p>
            <w:pPr>
              <w:spacing w:after="0"/>
              <w:rPr>
                <w:sz w:val="18"/>
                <w:szCs w:val="18"/>
                <w:color w:val="auto"/>
              </w:rPr>
            </w:pPr>
          </w:p>
        </w:tc>
        <w:tc>
          <w:tcPr>
            <w:tcW w:w="2380" w:type="dxa"/>
            <w:vAlign w:val="bottom"/>
            <w:shd w:val="clear" w:color="auto" w:fill="2B4B74"/>
          </w:tcPr>
          <w:p>
            <w:pPr>
              <w:jc w:val="center"/>
              <w:spacing w:after="0"/>
              <w:rPr>
                <w:sz w:val="20"/>
                <w:szCs w:val="20"/>
                <w:color w:val="auto"/>
              </w:rPr>
            </w:pPr>
            <w:r>
              <w:rPr>
                <w:rFonts w:ascii="Arial" w:cs="Arial" w:eastAsia="Arial" w:hAnsi="Arial"/>
                <w:sz w:val="12"/>
                <w:szCs w:val="12"/>
                <w:color w:val="FFFFFF"/>
              </w:rPr>
              <w:t>Global Operations and Complex</w:t>
            </w:r>
          </w:p>
        </w:tc>
        <w:tc>
          <w:tcPr>
            <w:tcW w:w="140" w:type="dxa"/>
            <w:vAlign w:val="bottom"/>
          </w:tcPr>
          <w:p>
            <w:pPr>
              <w:spacing w:after="0"/>
              <w:rPr>
                <w:sz w:val="18"/>
                <w:szCs w:val="18"/>
                <w:color w:val="auto"/>
              </w:rPr>
            </w:pPr>
          </w:p>
        </w:tc>
        <w:tc>
          <w:tcPr>
            <w:tcW w:w="2400" w:type="dxa"/>
            <w:vAlign w:val="bottom"/>
            <w:shd w:val="clear" w:color="auto" w:fill="2B4B74"/>
          </w:tcPr>
          <w:p>
            <w:pPr>
              <w:jc w:val="center"/>
              <w:spacing w:after="0"/>
              <w:rPr>
                <w:sz w:val="20"/>
                <w:szCs w:val="20"/>
                <w:color w:val="auto"/>
              </w:rPr>
            </w:pPr>
            <w:r>
              <w:rPr>
                <w:rFonts w:ascii="Arial" w:cs="Arial" w:eastAsia="Arial" w:hAnsi="Arial"/>
                <w:sz w:val="12"/>
                <w:szCs w:val="12"/>
                <w:color w:val="FFFFFF"/>
              </w:rPr>
              <w:t>Regulatory and Healthcare</w:t>
            </w:r>
          </w:p>
        </w:tc>
        <w:tc>
          <w:tcPr>
            <w:tcW w:w="0" w:type="dxa"/>
            <w:vAlign w:val="bottom"/>
          </w:tcPr>
          <w:p>
            <w:pPr>
              <w:spacing w:after="0"/>
              <w:rPr>
                <w:sz w:val="1"/>
                <w:szCs w:val="1"/>
                <w:color w:val="auto"/>
              </w:rPr>
            </w:pPr>
          </w:p>
        </w:tc>
      </w:tr>
      <w:tr>
        <w:trPr>
          <w:trHeight w:val="94"/>
        </w:trPr>
        <w:tc>
          <w:tcPr>
            <w:tcW w:w="2400" w:type="dxa"/>
            <w:vAlign w:val="bottom"/>
            <w:vMerge w:val="continue"/>
            <w:shd w:val="clear" w:color="auto" w:fill="2B4B74"/>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Safety Experience</w:t>
            </w:r>
          </w:p>
        </w:tc>
        <w:tc>
          <w:tcPr>
            <w:tcW w:w="140" w:type="dxa"/>
            <w:vAlign w:val="bottom"/>
          </w:tcPr>
          <w:p>
            <w:pPr>
              <w:spacing w:after="0"/>
              <w:rPr>
                <w:sz w:val="8"/>
                <w:szCs w:val="8"/>
                <w:color w:val="auto"/>
              </w:rPr>
            </w:pPr>
          </w:p>
        </w:tc>
        <w:tc>
          <w:tcPr>
            <w:tcW w:w="238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Organizations Experience</w:t>
            </w:r>
          </w:p>
        </w:tc>
        <w:tc>
          <w:tcPr>
            <w:tcW w:w="140" w:type="dxa"/>
            <w:vAlign w:val="bottom"/>
          </w:tcPr>
          <w:p>
            <w:pPr>
              <w:spacing w:after="0"/>
              <w:rPr>
                <w:sz w:val="8"/>
                <w:szCs w:val="8"/>
                <w:color w:val="auto"/>
              </w:rPr>
            </w:pPr>
          </w:p>
        </w:tc>
        <w:tc>
          <w:tcPr>
            <w:tcW w:w="240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Policy Experience</w:t>
            </w:r>
          </w:p>
        </w:tc>
        <w:tc>
          <w:tcPr>
            <w:tcW w:w="0" w:type="dxa"/>
            <w:vAlign w:val="bottom"/>
          </w:tcPr>
          <w:p>
            <w:pPr>
              <w:spacing w:after="0"/>
              <w:rPr>
                <w:sz w:val="1"/>
                <w:szCs w:val="1"/>
                <w:color w:val="auto"/>
              </w:rPr>
            </w:pPr>
          </w:p>
        </w:tc>
      </w:tr>
      <w:tr>
        <w:trPr>
          <w:trHeight w:val="70"/>
        </w:trPr>
        <w:tc>
          <w:tcPr>
            <w:tcW w:w="2400" w:type="dxa"/>
            <w:vAlign w:val="bottom"/>
            <w:shd w:val="clear" w:color="auto" w:fill="2B4B74"/>
          </w:tcPr>
          <w:p>
            <w:pPr>
              <w:spacing w:after="0"/>
              <w:rPr>
                <w:sz w:val="6"/>
                <w:szCs w:val="6"/>
                <w:color w:val="auto"/>
              </w:rPr>
            </w:pPr>
          </w:p>
        </w:tc>
        <w:tc>
          <w:tcPr>
            <w:tcW w:w="160" w:type="dxa"/>
            <w:vAlign w:val="bottom"/>
          </w:tcPr>
          <w:p>
            <w:pPr>
              <w:spacing w:after="0"/>
              <w:rPr>
                <w:sz w:val="6"/>
                <w:szCs w:val="6"/>
                <w:color w:val="auto"/>
              </w:rPr>
            </w:pPr>
          </w:p>
        </w:tc>
        <w:tc>
          <w:tcPr>
            <w:tcW w:w="2400" w:type="dxa"/>
            <w:vAlign w:val="bottom"/>
            <w:vMerge w:val="continue"/>
            <w:shd w:val="clear" w:color="auto" w:fill="2B4B74"/>
          </w:tcPr>
          <w:p>
            <w:pPr>
              <w:spacing w:after="0"/>
              <w:rPr>
                <w:sz w:val="6"/>
                <w:szCs w:val="6"/>
                <w:color w:val="auto"/>
              </w:rPr>
            </w:pPr>
          </w:p>
        </w:tc>
        <w:tc>
          <w:tcPr>
            <w:tcW w:w="140" w:type="dxa"/>
            <w:vAlign w:val="bottom"/>
          </w:tcPr>
          <w:p>
            <w:pPr>
              <w:spacing w:after="0"/>
              <w:rPr>
                <w:sz w:val="6"/>
                <w:szCs w:val="6"/>
                <w:color w:val="auto"/>
              </w:rPr>
            </w:pPr>
          </w:p>
        </w:tc>
        <w:tc>
          <w:tcPr>
            <w:tcW w:w="2380" w:type="dxa"/>
            <w:vAlign w:val="bottom"/>
            <w:vMerge w:val="continue"/>
            <w:shd w:val="clear" w:color="auto" w:fill="2B4B74"/>
          </w:tcPr>
          <w:p>
            <w:pPr>
              <w:spacing w:after="0"/>
              <w:rPr>
                <w:sz w:val="6"/>
                <w:szCs w:val="6"/>
                <w:color w:val="auto"/>
              </w:rPr>
            </w:pPr>
          </w:p>
        </w:tc>
        <w:tc>
          <w:tcPr>
            <w:tcW w:w="140" w:type="dxa"/>
            <w:vAlign w:val="bottom"/>
          </w:tcPr>
          <w:p>
            <w:pPr>
              <w:spacing w:after="0"/>
              <w:rPr>
                <w:sz w:val="6"/>
                <w:szCs w:val="6"/>
                <w:color w:val="auto"/>
              </w:rPr>
            </w:pPr>
          </w:p>
        </w:tc>
        <w:tc>
          <w:tcPr>
            <w:tcW w:w="2400" w:type="dxa"/>
            <w:vAlign w:val="bottom"/>
            <w:vMerge w:val="continue"/>
            <w:shd w:val="clear" w:color="auto" w:fill="2B4B74"/>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400" w:type="dxa"/>
            <w:vAlign w:val="bottom"/>
            <w:shd w:val="clear" w:color="auto" w:fill="2B4B74"/>
          </w:tcPr>
          <w:p>
            <w:pPr>
              <w:spacing w:after="0"/>
              <w:rPr>
                <w:sz w:val="5"/>
                <w:szCs w:val="5"/>
                <w:color w:val="auto"/>
              </w:rPr>
            </w:pPr>
          </w:p>
        </w:tc>
        <w:tc>
          <w:tcPr>
            <w:tcW w:w="160" w:type="dxa"/>
            <w:vAlign w:val="bottom"/>
          </w:tcPr>
          <w:p>
            <w:pPr>
              <w:spacing w:after="0"/>
              <w:rPr>
                <w:sz w:val="5"/>
                <w:szCs w:val="5"/>
                <w:color w:val="auto"/>
              </w:rPr>
            </w:pPr>
          </w:p>
        </w:tc>
        <w:tc>
          <w:tcPr>
            <w:tcW w:w="2400" w:type="dxa"/>
            <w:vAlign w:val="bottom"/>
            <w:shd w:val="clear" w:color="auto" w:fill="2B4B74"/>
          </w:tcPr>
          <w:p>
            <w:pPr>
              <w:spacing w:after="0"/>
              <w:rPr>
                <w:sz w:val="5"/>
                <w:szCs w:val="5"/>
                <w:color w:val="auto"/>
              </w:rPr>
            </w:pPr>
          </w:p>
        </w:tc>
        <w:tc>
          <w:tcPr>
            <w:tcW w:w="140" w:type="dxa"/>
            <w:vAlign w:val="bottom"/>
          </w:tcPr>
          <w:p>
            <w:pPr>
              <w:spacing w:after="0"/>
              <w:rPr>
                <w:sz w:val="5"/>
                <w:szCs w:val="5"/>
                <w:color w:val="auto"/>
              </w:rPr>
            </w:pPr>
          </w:p>
        </w:tc>
        <w:tc>
          <w:tcPr>
            <w:tcW w:w="2380" w:type="dxa"/>
            <w:vAlign w:val="bottom"/>
            <w:shd w:val="clear" w:color="auto" w:fill="2B4B74"/>
          </w:tcPr>
          <w:p>
            <w:pPr>
              <w:spacing w:after="0"/>
              <w:rPr>
                <w:sz w:val="5"/>
                <w:szCs w:val="5"/>
                <w:color w:val="auto"/>
              </w:rPr>
            </w:pPr>
          </w:p>
        </w:tc>
        <w:tc>
          <w:tcPr>
            <w:tcW w:w="140" w:type="dxa"/>
            <w:vAlign w:val="bottom"/>
          </w:tcPr>
          <w:p>
            <w:pPr>
              <w:spacing w:after="0"/>
              <w:rPr>
                <w:sz w:val="5"/>
                <w:szCs w:val="5"/>
                <w:color w:val="auto"/>
              </w:rPr>
            </w:pPr>
          </w:p>
        </w:tc>
        <w:tc>
          <w:tcPr>
            <w:tcW w:w="2400" w:type="dxa"/>
            <w:vAlign w:val="bottom"/>
            <w:shd w:val="clear" w:color="auto" w:fill="2B4B74"/>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2B4B74"/>
          </w:tcPr>
          <w:p>
            <w:pPr>
              <w:jc w:val="center"/>
              <w:spacing w:after="0"/>
              <w:rPr>
                <w:sz w:val="20"/>
                <w:szCs w:val="20"/>
                <w:color w:val="auto"/>
              </w:rPr>
            </w:pPr>
            <w:r>
              <w:rPr>
                <w:rFonts w:ascii="Arial" w:cs="Arial" w:eastAsia="Arial" w:hAnsi="Arial"/>
                <w:sz w:val="12"/>
                <w:szCs w:val="12"/>
                <w:color w:val="FFFFFF"/>
              </w:rPr>
              <w:t>Public Company</w:t>
            </w:r>
          </w:p>
        </w:tc>
        <w:tc>
          <w:tcPr>
            <w:tcW w:w="160" w:type="dxa"/>
            <w:vAlign w:val="bottom"/>
          </w:tcPr>
          <w:p>
            <w:pPr>
              <w:spacing w:after="0"/>
              <w:rPr>
                <w:sz w:val="18"/>
                <w:szCs w:val="18"/>
                <w:color w:val="auto"/>
              </w:rPr>
            </w:pPr>
          </w:p>
        </w:tc>
        <w:tc>
          <w:tcPr>
            <w:tcW w:w="2400" w:type="dxa"/>
            <w:vAlign w:val="bottom"/>
            <w:shd w:val="clear" w:color="auto" w:fill="2B4B74"/>
          </w:tcPr>
          <w:p>
            <w:pPr>
              <w:jc w:val="center"/>
              <w:spacing w:after="0"/>
              <w:rPr>
                <w:sz w:val="20"/>
                <w:szCs w:val="20"/>
                <w:color w:val="auto"/>
              </w:rPr>
            </w:pPr>
            <w:r>
              <w:rPr>
                <w:rFonts w:ascii="Arial" w:cs="Arial" w:eastAsia="Arial" w:hAnsi="Arial"/>
                <w:sz w:val="12"/>
                <w:szCs w:val="12"/>
                <w:color w:val="FFFFFF"/>
              </w:rPr>
              <w:t>Strategic Planning</w:t>
            </w:r>
          </w:p>
        </w:tc>
        <w:tc>
          <w:tcPr>
            <w:tcW w:w="140" w:type="dxa"/>
            <w:vAlign w:val="bottom"/>
          </w:tcPr>
          <w:p>
            <w:pPr>
              <w:spacing w:after="0"/>
              <w:rPr>
                <w:sz w:val="18"/>
                <w:szCs w:val="18"/>
                <w:color w:val="auto"/>
              </w:rPr>
            </w:pPr>
          </w:p>
        </w:tc>
        <w:tc>
          <w:tcPr>
            <w:tcW w:w="2380" w:type="dxa"/>
            <w:vAlign w:val="bottom"/>
            <w:shd w:val="clear" w:color="auto" w:fill="2B4B74"/>
          </w:tcPr>
          <w:p>
            <w:pPr>
              <w:jc w:val="center"/>
              <w:spacing w:after="0"/>
              <w:rPr>
                <w:sz w:val="20"/>
                <w:szCs w:val="20"/>
                <w:color w:val="auto"/>
              </w:rPr>
            </w:pPr>
            <w:r>
              <w:rPr>
                <w:rFonts w:ascii="Arial" w:cs="Arial" w:eastAsia="Arial" w:hAnsi="Arial"/>
                <w:sz w:val="12"/>
                <w:szCs w:val="12"/>
                <w:color w:val="FFFFFF"/>
              </w:rPr>
              <w:t>Technology and</w:t>
            </w:r>
          </w:p>
        </w:tc>
        <w:tc>
          <w:tcPr>
            <w:tcW w:w="140" w:type="dxa"/>
            <w:vAlign w:val="bottom"/>
          </w:tcPr>
          <w:p>
            <w:pPr>
              <w:spacing w:after="0"/>
              <w:rPr>
                <w:sz w:val="18"/>
                <w:szCs w:val="18"/>
                <w:color w:val="auto"/>
              </w:rPr>
            </w:pPr>
          </w:p>
        </w:tc>
        <w:tc>
          <w:tcPr>
            <w:tcW w:w="240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Institutional Knowledge</w:t>
            </w:r>
          </w:p>
        </w:tc>
        <w:tc>
          <w:tcPr>
            <w:tcW w:w="0" w:type="dxa"/>
            <w:vAlign w:val="bottom"/>
          </w:tcPr>
          <w:p>
            <w:pPr>
              <w:spacing w:after="0"/>
              <w:rPr>
                <w:sz w:val="1"/>
                <w:szCs w:val="1"/>
                <w:color w:val="auto"/>
              </w:rPr>
            </w:pPr>
          </w:p>
        </w:tc>
      </w:tr>
      <w:tr>
        <w:trPr>
          <w:trHeight w:val="94"/>
        </w:trPr>
        <w:tc>
          <w:tcPr>
            <w:tcW w:w="240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Board Experience</w:t>
            </w:r>
          </w:p>
        </w:tc>
        <w:tc>
          <w:tcPr>
            <w:tcW w:w="160" w:type="dxa"/>
            <w:vAlign w:val="bottom"/>
          </w:tcPr>
          <w:p>
            <w:pPr>
              <w:spacing w:after="0"/>
              <w:rPr>
                <w:sz w:val="8"/>
                <w:szCs w:val="8"/>
                <w:color w:val="auto"/>
              </w:rPr>
            </w:pPr>
          </w:p>
        </w:tc>
        <w:tc>
          <w:tcPr>
            <w:tcW w:w="240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Expertise</w:t>
            </w:r>
          </w:p>
        </w:tc>
        <w:tc>
          <w:tcPr>
            <w:tcW w:w="140" w:type="dxa"/>
            <w:vAlign w:val="bottom"/>
          </w:tcPr>
          <w:p>
            <w:pPr>
              <w:spacing w:after="0"/>
              <w:rPr>
                <w:sz w:val="8"/>
                <w:szCs w:val="8"/>
                <w:color w:val="auto"/>
              </w:rPr>
            </w:pPr>
          </w:p>
        </w:tc>
        <w:tc>
          <w:tcPr>
            <w:tcW w:w="2380" w:type="dxa"/>
            <w:vAlign w:val="bottom"/>
            <w:vMerge w:val="restart"/>
            <w:shd w:val="clear" w:color="auto" w:fill="2B4B74"/>
          </w:tcPr>
          <w:p>
            <w:pPr>
              <w:jc w:val="center"/>
              <w:spacing w:after="0"/>
              <w:rPr>
                <w:sz w:val="20"/>
                <w:szCs w:val="20"/>
                <w:color w:val="auto"/>
              </w:rPr>
            </w:pPr>
            <w:r>
              <w:rPr>
                <w:rFonts w:ascii="Arial" w:cs="Arial" w:eastAsia="Arial" w:hAnsi="Arial"/>
                <w:sz w:val="12"/>
                <w:szCs w:val="12"/>
                <w:color w:val="FFFFFF"/>
              </w:rPr>
              <w:t>Cybersecurity Experience</w:t>
            </w:r>
          </w:p>
        </w:tc>
        <w:tc>
          <w:tcPr>
            <w:tcW w:w="140" w:type="dxa"/>
            <w:vAlign w:val="bottom"/>
          </w:tcPr>
          <w:p>
            <w:pPr>
              <w:spacing w:after="0"/>
              <w:rPr>
                <w:sz w:val="8"/>
                <w:szCs w:val="8"/>
                <w:color w:val="auto"/>
              </w:rPr>
            </w:pPr>
          </w:p>
        </w:tc>
        <w:tc>
          <w:tcPr>
            <w:tcW w:w="2400" w:type="dxa"/>
            <w:vAlign w:val="bottom"/>
            <w:vMerge w:val="continue"/>
            <w:shd w:val="clear" w:color="auto" w:fill="2B4B74"/>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400" w:type="dxa"/>
            <w:vAlign w:val="bottom"/>
            <w:vMerge w:val="continue"/>
            <w:shd w:val="clear" w:color="auto" w:fill="2B4B74"/>
          </w:tcPr>
          <w:p>
            <w:pPr>
              <w:spacing w:after="0"/>
              <w:rPr>
                <w:sz w:val="6"/>
                <w:szCs w:val="6"/>
                <w:color w:val="auto"/>
              </w:rPr>
            </w:pPr>
          </w:p>
        </w:tc>
        <w:tc>
          <w:tcPr>
            <w:tcW w:w="160" w:type="dxa"/>
            <w:vAlign w:val="bottom"/>
          </w:tcPr>
          <w:p>
            <w:pPr>
              <w:spacing w:after="0"/>
              <w:rPr>
                <w:sz w:val="6"/>
                <w:szCs w:val="6"/>
                <w:color w:val="auto"/>
              </w:rPr>
            </w:pPr>
          </w:p>
        </w:tc>
        <w:tc>
          <w:tcPr>
            <w:tcW w:w="2400" w:type="dxa"/>
            <w:vAlign w:val="bottom"/>
            <w:vMerge w:val="continue"/>
            <w:shd w:val="clear" w:color="auto" w:fill="2B4B74"/>
          </w:tcPr>
          <w:p>
            <w:pPr>
              <w:spacing w:after="0"/>
              <w:rPr>
                <w:sz w:val="6"/>
                <w:szCs w:val="6"/>
                <w:color w:val="auto"/>
              </w:rPr>
            </w:pPr>
          </w:p>
        </w:tc>
        <w:tc>
          <w:tcPr>
            <w:tcW w:w="140" w:type="dxa"/>
            <w:vAlign w:val="bottom"/>
          </w:tcPr>
          <w:p>
            <w:pPr>
              <w:spacing w:after="0"/>
              <w:rPr>
                <w:sz w:val="6"/>
                <w:szCs w:val="6"/>
                <w:color w:val="auto"/>
              </w:rPr>
            </w:pPr>
          </w:p>
        </w:tc>
        <w:tc>
          <w:tcPr>
            <w:tcW w:w="2380" w:type="dxa"/>
            <w:vAlign w:val="bottom"/>
            <w:vMerge w:val="continue"/>
            <w:shd w:val="clear" w:color="auto" w:fill="2B4B74"/>
          </w:tcPr>
          <w:p>
            <w:pPr>
              <w:spacing w:after="0"/>
              <w:rPr>
                <w:sz w:val="6"/>
                <w:szCs w:val="6"/>
                <w:color w:val="auto"/>
              </w:rPr>
            </w:pPr>
          </w:p>
        </w:tc>
        <w:tc>
          <w:tcPr>
            <w:tcW w:w="140" w:type="dxa"/>
            <w:vAlign w:val="bottom"/>
          </w:tcPr>
          <w:p>
            <w:pPr>
              <w:spacing w:after="0"/>
              <w:rPr>
                <w:sz w:val="6"/>
                <w:szCs w:val="6"/>
                <w:color w:val="auto"/>
              </w:rPr>
            </w:pPr>
          </w:p>
        </w:tc>
        <w:tc>
          <w:tcPr>
            <w:tcW w:w="2400" w:type="dxa"/>
            <w:vAlign w:val="bottom"/>
            <w:shd w:val="clear" w:color="auto" w:fill="2B4B74"/>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400" w:type="dxa"/>
            <w:vAlign w:val="bottom"/>
            <w:shd w:val="clear" w:color="auto" w:fill="2B4B74"/>
          </w:tcPr>
          <w:p>
            <w:pPr>
              <w:spacing w:after="0"/>
              <w:rPr>
                <w:sz w:val="5"/>
                <w:szCs w:val="5"/>
                <w:color w:val="auto"/>
              </w:rPr>
            </w:pPr>
          </w:p>
        </w:tc>
        <w:tc>
          <w:tcPr>
            <w:tcW w:w="160" w:type="dxa"/>
            <w:vAlign w:val="bottom"/>
          </w:tcPr>
          <w:p>
            <w:pPr>
              <w:spacing w:after="0"/>
              <w:rPr>
                <w:sz w:val="5"/>
                <w:szCs w:val="5"/>
                <w:color w:val="auto"/>
              </w:rPr>
            </w:pPr>
          </w:p>
        </w:tc>
        <w:tc>
          <w:tcPr>
            <w:tcW w:w="2400" w:type="dxa"/>
            <w:vAlign w:val="bottom"/>
            <w:shd w:val="clear" w:color="auto" w:fill="2B4B74"/>
          </w:tcPr>
          <w:p>
            <w:pPr>
              <w:spacing w:after="0"/>
              <w:rPr>
                <w:sz w:val="5"/>
                <w:szCs w:val="5"/>
                <w:color w:val="auto"/>
              </w:rPr>
            </w:pPr>
          </w:p>
        </w:tc>
        <w:tc>
          <w:tcPr>
            <w:tcW w:w="140" w:type="dxa"/>
            <w:vAlign w:val="bottom"/>
          </w:tcPr>
          <w:p>
            <w:pPr>
              <w:spacing w:after="0"/>
              <w:rPr>
                <w:sz w:val="5"/>
                <w:szCs w:val="5"/>
                <w:color w:val="auto"/>
              </w:rPr>
            </w:pPr>
          </w:p>
        </w:tc>
        <w:tc>
          <w:tcPr>
            <w:tcW w:w="2380" w:type="dxa"/>
            <w:vAlign w:val="bottom"/>
            <w:shd w:val="clear" w:color="auto" w:fill="2B4B74"/>
          </w:tcPr>
          <w:p>
            <w:pPr>
              <w:spacing w:after="0"/>
              <w:rPr>
                <w:sz w:val="5"/>
                <w:szCs w:val="5"/>
                <w:color w:val="auto"/>
              </w:rPr>
            </w:pPr>
          </w:p>
        </w:tc>
        <w:tc>
          <w:tcPr>
            <w:tcW w:w="140" w:type="dxa"/>
            <w:vAlign w:val="bottom"/>
          </w:tcPr>
          <w:p>
            <w:pPr>
              <w:spacing w:after="0"/>
              <w:rPr>
                <w:sz w:val="5"/>
                <w:szCs w:val="5"/>
                <w:color w:val="auto"/>
              </w:rPr>
            </w:pPr>
          </w:p>
        </w:tc>
        <w:tc>
          <w:tcPr>
            <w:tcW w:w="2400" w:type="dxa"/>
            <w:vAlign w:val="bottom"/>
            <w:shd w:val="clear" w:color="auto" w:fill="2B4B74"/>
          </w:tcPr>
          <w:p>
            <w:pPr>
              <w:spacing w:after="0"/>
              <w:rPr>
                <w:sz w:val="5"/>
                <w:szCs w:val="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Nominee Qualifications and Biographical Information</w:t>
      </w:r>
    </w:p>
    <w:p>
      <w:pPr>
        <w:spacing w:after="0" w:line="120" w:lineRule="exact"/>
        <w:rPr>
          <w:sz w:val="20"/>
          <w:szCs w:val="20"/>
          <w:color w:val="auto"/>
        </w:rPr>
      </w:pPr>
    </w:p>
    <w:p>
      <w:pPr>
        <w:jc w:val="both"/>
        <w:ind w:firstLine="334"/>
        <w:spacing w:after="0" w:line="247" w:lineRule="auto"/>
        <w:rPr>
          <w:sz w:val="20"/>
          <w:szCs w:val="20"/>
          <w:color w:val="auto"/>
        </w:rPr>
      </w:pPr>
      <w:r>
        <w:rPr>
          <w:rFonts w:ascii="Arial" w:cs="Arial" w:eastAsia="Arial" w:hAnsi="Arial"/>
          <w:sz w:val="15"/>
          <w:szCs w:val="15"/>
          <w:b w:val="1"/>
          <w:bCs w:val="1"/>
          <w:color w:val="auto"/>
        </w:rPr>
        <w:t xml:space="preserve">Thomas F. Ackerman </w:t>
      </w:r>
      <w:r>
        <w:rPr>
          <w:rFonts w:ascii="Arial" w:cs="Arial" w:eastAsia="Arial" w:hAnsi="Arial"/>
          <w:sz w:val="15"/>
          <w:szCs w:val="15"/>
          <w:color w:val="auto"/>
        </w:rPr>
        <w:t>has served as a director of Artivion since December 2003. Until February 2017, Mr. Ackerman served as a consultant</w:t>
      </w:r>
      <w:r>
        <w:rPr>
          <w:rFonts w:ascii="Arial" w:cs="Arial" w:eastAsia="Arial" w:hAnsi="Arial"/>
          <w:sz w:val="15"/>
          <w:szCs w:val="15"/>
          <w:b w:val="1"/>
          <w:bCs w:val="1"/>
          <w:color w:val="auto"/>
        </w:rPr>
        <w:t xml:space="preserve"> </w:t>
      </w:r>
      <w:r>
        <w:rPr>
          <w:rFonts w:ascii="Arial" w:cs="Arial" w:eastAsia="Arial" w:hAnsi="Arial"/>
          <w:sz w:val="15"/>
          <w:szCs w:val="15"/>
          <w:color w:val="auto"/>
        </w:rPr>
        <w:t>to Charles River Laboratories International, Inc. (NYSE: CRL) (“Charles River Laboratories”). Charles River Laboratories is a leading global provider of solutions that accelerate the early-stage drug discovery and development process, with a focus on in vivo biology, including research models and services required to enable in vivo drug discovery and development. Until early 2016, Mr. Ackerman served as a Senior Financial Advisor of Charles River Laboratories, a position he held since August 2015. From 2005 to 2015, he served as Executive Vice President and Chief Financial Officer of Charles River Laboratories. From 1999 to 2005, he served as Senior Vice President and Chief Financial Officer of Charles River Laboratories. From 1996 to 1999, Mr. Ackerman served as Vice President and Chief Financial Officer of Charles River Laboratories, where he had been employed since 1988. Mr. Ackerman is a director of the University of Massachusetts Amherst Foundation and serves on the audit committee of Olin College of Engineering. Mr. Ackerman received a B.S. in Accounting from the University of Massachusetts and became a Certified Public Accountant in 1979. Mr. Ackerman’s license is currently inactive.</w:t>
      </w:r>
    </w:p>
    <w:p>
      <w:pPr>
        <w:spacing w:after="0" w:line="117"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Board of Directors has determined that Mr. Ackerman should serve as a director of Artivion because of his expertise in accounting and financial reporting, particularly in the biotechnology industry.</w:t>
      </w:r>
    </w:p>
    <w:p>
      <w:pPr>
        <w:spacing w:after="0" w:line="87" w:lineRule="exact"/>
        <w:rPr>
          <w:sz w:val="20"/>
          <w:szCs w:val="20"/>
          <w:color w:val="auto"/>
        </w:rPr>
      </w:pPr>
    </w:p>
    <w:p>
      <w:pPr>
        <w:jc w:val="both"/>
        <w:ind w:firstLine="334"/>
        <w:spacing w:after="0" w:line="246" w:lineRule="auto"/>
        <w:rPr>
          <w:sz w:val="20"/>
          <w:szCs w:val="20"/>
          <w:color w:val="auto"/>
        </w:rPr>
      </w:pPr>
      <w:r>
        <w:rPr>
          <w:rFonts w:ascii="Arial" w:cs="Arial" w:eastAsia="Arial" w:hAnsi="Arial"/>
          <w:sz w:val="15"/>
          <w:szCs w:val="15"/>
          <w:b w:val="1"/>
          <w:bCs w:val="1"/>
          <w:color w:val="auto"/>
        </w:rPr>
        <w:t xml:space="preserve">Daniel J. Bevevino </w:t>
      </w:r>
      <w:r>
        <w:rPr>
          <w:rFonts w:ascii="Arial" w:cs="Arial" w:eastAsia="Arial" w:hAnsi="Arial"/>
          <w:sz w:val="15"/>
          <w:szCs w:val="15"/>
          <w:color w:val="auto"/>
        </w:rPr>
        <w:t>has served as a director of Artivion since December 2003. From 1996 until March 2008, Mr. Bevevino served as the Vice</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and Chief Financial Officer of Respironics, Inc. (“Respironics”), a company that developed, manufactured, and marketed medical devices used primarily for the treatment of patients suffering from sleep and respiratory disorders. He was employed by Respironics beginning in 1988. In March 2008, Respironics was acquired by Royal Philips (NYSE: PHG) (“Philips”), whose businesses included a variety of medical solutions, including medical diagnostic imaging and patient monitoring systems, as well as businesses focused on energy efficient lighting and consumer products. From March 2008 to December 31, 2009, Mr. Bevevino was employed by Philips as Head of Post-Merger Integration – Respironics, as well as in various operating capacities, to help facilitate integration of the combined companies. He is currently an independent consultant providing interim chief financial officer services in the life sciences industry, and he currently serves as a director of one of the private companies for which he provides services. He began his career as a Certified Public Accountant with Ernst &amp; Young LLP. Mr. Bevevino’s license is currently inactive. Mr. Bevevino received a B.S. in Business Administration from Duquesne University and an MBA from the University of Notre Dame.</w:t>
      </w:r>
    </w:p>
    <w:p>
      <w:pPr>
        <w:spacing w:after="0" w:line="310"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Board of Directors has determined that Mr. Bevevino should serve as a director of Artivion because of his expertise in accounting and financial reporting, particularly in the medical device industry.</w:t>
      </w:r>
    </w:p>
    <w:p>
      <w:pPr>
        <w:spacing w:after="0" w:line="87" w:lineRule="exact"/>
        <w:rPr>
          <w:sz w:val="20"/>
          <w:szCs w:val="20"/>
          <w:color w:val="auto"/>
        </w:rPr>
      </w:pPr>
    </w:p>
    <w:p>
      <w:pPr>
        <w:jc w:val="both"/>
        <w:ind w:firstLine="334"/>
        <w:spacing w:after="0" w:line="247" w:lineRule="auto"/>
        <w:rPr>
          <w:sz w:val="20"/>
          <w:szCs w:val="20"/>
          <w:color w:val="auto"/>
        </w:rPr>
      </w:pPr>
      <w:r>
        <w:rPr>
          <w:rFonts w:ascii="Arial" w:cs="Arial" w:eastAsia="Arial" w:hAnsi="Arial"/>
          <w:sz w:val="15"/>
          <w:szCs w:val="15"/>
          <w:b w:val="1"/>
          <w:bCs w:val="1"/>
          <w:color w:val="auto"/>
        </w:rPr>
        <w:t xml:space="preserve">Marna P. Borgstrom </w:t>
      </w:r>
      <w:r>
        <w:rPr>
          <w:rFonts w:ascii="Arial" w:cs="Arial" w:eastAsia="Arial" w:hAnsi="Arial"/>
          <w:sz w:val="15"/>
          <w:szCs w:val="15"/>
          <w:color w:val="auto"/>
        </w:rPr>
        <w:t>has served as a director of Artivion since June 2018. From 2005 until March 2022, Ms. Borgstrom served as President,</w:t>
      </w:r>
      <w:r>
        <w:rPr>
          <w:rFonts w:ascii="Arial" w:cs="Arial" w:eastAsia="Arial" w:hAnsi="Arial"/>
          <w:sz w:val="15"/>
          <w:szCs w:val="15"/>
          <w:b w:val="1"/>
          <w:bCs w:val="1"/>
          <w:color w:val="auto"/>
        </w:rPr>
        <w:t xml:space="preserve"> </w:t>
      </w:r>
      <w:r>
        <w:rPr>
          <w:rFonts w:ascii="Arial" w:cs="Arial" w:eastAsia="Arial" w:hAnsi="Arial"/>
          <w:sz w:val="15"/>
          <w:szCs w:val="15"/>
          <w:color w:val="auto"/>
        </w:rPr>
        <w:t>Chief Executive Officer, and a board member of Yale New Haven Health System, an integrated healthcare delivery system with approximately $5.88 billion in annual revenue, 2,681 patient beds, and 29,486 employees. During her tenure with Yale New Haven Health System, Ms. Borgstrom was instrumental in the health system’s growth, which over the last decade included an increase in revenue of 126%, patient beds of 26%, and employees of 60%. Ms. Borgstrom also played a significant role in integrating Yale New Haven Health System into a cohesive operating entity, increasing efficiencies and significantly reducing costs. During the challenging pandemic, Ms. Borgstrom and her team evolved care pathways for COVID-19 patients, such that Yale New Haven Health System was able to keep patients and employees safe and report mortality rates of less than 50% of the national average, despite treating a larger number of, and more medically complex, COVID-19 cases. Additionally, Ms. Borgstrom currently serves on the boards of the Allina Health System and Marion Parke Design, both headquartered in Minneapolis, Minnesota. Ms. Borgstrom received her Bachelor of Arts from Stanford University and a Masters in Public Health from Yale University.</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13" w:name="page14"/>
    <w:bookmarkEnd w:id="13"/>
    <w:p>
      <w:pPr>
        <w:jc w:val="both"/>
        <w:ind w:firstLine="334"/>
        <w:spacing w:after="0" w:line="263" w:lineRule="auto"/>
        <w:rPr>
          <w:sz w:val="20"/>
          <w:szCs w:val="20"/>
          <w:color w:val="auto"/>
        </w:rPr>
      </w:pPr>
      <w:r>
        <w:rPr>
          <w:rFonts w:ascii="Arial" w:cs="Arial" w:eastAsia="Arial" w:hAnsi="Arial"/>
          <w:sz w:val="15"/>
          <w:szCs w:val="15"/>
          <w:color w:val="auto"/>
        </w:rPr>
        <w:t>The Board of Directors has determined that Ms. Borgstrom should serve as a director of Artivion because of her extensive experience as a senior executive leading a large, complex organization in the healthcare sector, coupled with her knowledge of healthcare regulation and policy and her recognition within the healthcare industry.</w:t>
      </w:r>
    </w:p>
    <w:p>
      <w:pPr>
        <w:spacing w:after="0" w:line="104" w:lineRule="exact"/>
        <w:rPr>
          <w:sz w:val="20"/>
          <w:szCs w:val="20"/>
          <w:color w:val="auto"/>
        </w:rPr>
      </w:pPr>
    </w:p>
    <w:p>
      <w:pPr>
        <w:jc w:val="both"/>
        <w:ind w:firstLine="334"/>
        <w:spacing w:after="0" w:line="245" w:lineRule="auto"/>
        <w:rPr>
          <w:sz w:val="20"/>
          <w:szCs w:val="20"/>
          <w:color w:val="auto"/>
        </w:rPr>
      </w:pPr>
      <w:r>
        <w:rPr>
          <w:rFonts w:ascii="Arial" w:cs="Arial" w:eastAsia="Arial" w:hAnsi="Arial"/>
          <w:sz w:val="15"/>
          <w:szCs w:val="15"/>
          <w:b w:val="1"/>
          <w:bCs w:val="1"/>
          <w:color w:val="auto"/>
        </w:rPr>
        <w:t xml:space="preserve">James W. Bullock </w:t>
      </w:r>
      <w:r>
        <w:rPr>
          <w:rFonts w:ascii="Arial" w:cs="Arial" w:eastAsia="Arial" w:hAnsi="Arial"/>
          <w:sz w:val="15"/>
          <w:szCs w:val="15"/>
          <w:color w:val="auto"/>
        </w:rPr>
        <w:t>has served as a director of Artivion since October 2016. Mr. Bullock previously served as the President and Chief</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Officer of Zyga Technology, Inc. (“Zyga Technology”), a privately-held medical device company focused on products that treat conditions of the lumbar spine, until January 2018, when RTI Surgical, Inc. (formerly NASDAQ: RTIX) acquired Zyga Technology. Prior to that, he served for six years as President and Chief Executive Officer of Atritech, Inc. (“Atritech”). Atritech was a privately held cardiovascular manufacturing company that was acquired by Boston Scientific Corporation (NYSE: BSX). Prior to that, he served for nine years as President, Chief Executive Officer, and board member of Endocardial Solutions, Inc. (NASDAQ: ECSI) (“Endocardial Solutions”), a cardiac-focused medical device company that was acquired by St. Jude Medical, which was itself acquired by Abbott Laboratories (NYSE: ABT). Mr. Bullock also served as President, Chief Executive Officer, and board member of Stuart Medical, and he began his career working in a variety of sales and marketing leadership positions at Baxter International, Inc. (NYSE: BAX) and American Hospital Supply Corporation. Currently, in addition to Artivion’s Board of Directors, Mr. Bullock also serves as Chairman of the board of directors of Stimdia, Inc., a privately held company that conducts research for the development of medical devices for use in the critical care treatment of ventilator induced diaphragmatic dysfunction. Mr. Bullock also serves as a director of Intershunt Technologies, Inc. and served as Chairman of the board of directors of Surgical Information Science, Inc. until its dissolution in 2025, both private health companies. Mr. Bullock received a Bachelor of Science in Public Administration from the University of Arizona.</w:t>
      </w:r>
    </w:p>
    <w:p>
      <w:pPr>
        <w:spacing w:after="0" w:line="126"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Board of Directors has determined that Mr. Bullock should serve as a director of Artivion because of his business acumen and substantial experience in the global medical device industry, particularly in the area of company growth.</w:t>
      </w:r>
    </w:p>
    <w:p>
      <w:pPr>
        <w:spacing w:after="0" w:line="99" w:lineRule="exact"/>
        <w:rPr>
          <w:sz w:val="20"/>
          <w:szCs w:val="20"/>
          <w:color w:val="auto"/>
        </w:rPr>
      </w:pPr>
    </w:p>
    <w:p>
      <w:pPr>
        <w:jc w:val="both"/>
        <w:ind w:firstLine="334"/>
        <w:spacing w:after="0" w:line="246" w:lineRule="auto"/>
        <w:rPr>
          <w:sz w:val="20"/>
          <w:szCs w:val="20"/>
          <w:color w:val="auto"/>
        </w:rPr>
      </w:pPr>
      <w:r>
        <w:rPr>
          <w:rFonts w:ascii="Arial" w:cs="Arial" w:eastAsia="Arial" w:hAnsi="Arial"/>
          <w:sz w:val="15"/>
          <w:szCs w:val="15"/>
          <w:b w:val="1"/>
          <w:bCs w:val="1"/>
          <w:color w:val="auto"/>
        </w:rPr>
        <w:t xml:space="preserve">Jeffrey H. Burbank </w:t>
      </w:r>
      <w:r>
        <w:rPr>
          <w:rFonts w:ascii="Arial" w:cs="Arial" w:eastAsia="Arial" w:hAnsi="Arial"/>
          <w:sz w:val="15"/>
          <w:szCs w:val="15"/>
          <w:color w:val="auto"/>
        </w:rPr>
        <w:t>has served as a director of Artivion since September 2017. From 2019 until March 2022, Mr. Burbank served as the</w:t>
      </w:r>
      <w:r>
        <w:rPr>
          <w:rFonts w:ascii="Arial" w:cs="Arial" w:eastAsia="Arial" w:hAnsi="Arial"/>
          <w:sz w:val="15"/>
          <w:szCs w:val="15"/>
          <w:b w:val="1"/>
          <w:bCs w:val="1"/>
          <w:color w:val="auto"/>
        </w:rPr>
        <w:t xml:space="preserve"> </w:t>
      </w:r>
      <w:r>
        <w:rPr>
          <w:rFonts w:ascii="Arial" w:cs="Arial" w:eastAsia="Arial" w:hAnsi="Arial"/>
          <w:sz w:val="15"/>
          <w:szCs w:val="15"/>
          <w:color w:val="auto"/>
        </w:rPr>
        <w:t>Chief Technology Officer at Fresenius Medical Care North America, a division of Fresenius Medical Care AG &amp; Co. (NYSE: FMS) (“Fresenius Medical Care”), the world’s largest provider of products and services for individuals with renal diseases. Prior to that, Mr. Burbank served as Chief Executive Officer and a member of the board of directors of NxStage Medical, Inc. (formerly NASDAQ: NXTM) (“NxStage Medical”), a leading medical technology company, positions he held since he founded NxStage Medical in 1998, until Fresenius Medical Care completed its acquisition of NxStage Medical in February 2019. Prior to founding NxStage Medical, Mr. Burbank was a co-founder of Vasca, Inc., a company that provided innovative implantable access devices, where he was the President and Chief Executive Officer, as well as Chairman of the board of directors. Mr. Burbank also serves as a director of PATH EX, a privately held company focusing on the development of sepsis blood-cleansing devices. Mr. Burbank has over 30 years of senior leadership experience in the medical device industry, developing, marketing, and manufacturing products for end-stage renal disease patients. During his career he has been an inventor on over 50 U.S. patents for medical devices. Mr. Burbank received a Bachelor of Science in Industrial Engineering from Lehigh University.</w:t>
      </w:r>
    </w:p>
    <w:p>
      <w:pPr>
        <w:spacing w:after="0" w:line="122"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Board of Directors has determined that Mr. Burbank should serve as a director of Artivion because of his business acumen and substantial senior leadership experience in the global medical device industry.</w:t>
      </w:r>
    </w:p>
    <w:p>
      <w:pPr>
        <w:spacing w:after="0" w:line="87" w:lineRule="exact"/>
        <w:rPr>
          <w:sz w:val="20"/>
          <w:szCs w:val="20"/>
          <w:color w:val="auto"/>
        </w:rPr>
      </w:pPr>
    </w:p>
    <w:p>
      <w:pPr>
        <w:jc w:val="both"/>
        <w:ind w:firstLine="334"/>
        <w:spacing w:after="0" w:line="244" w:lineRule="auto"/>
        <w:rPr>
          <w:sz w:val="20"/>
          <w:szCs w:val="20"/>
          <w:color w:val="auto"/>
        </w:rPr>
      </w:pPr>
      <w:r>
        <w:rPr>
          <w:rFonts w:ascii="Arial" w:cs="Arial" w:eastAsia="Arial" w:hAnsi="Arial"/>
          <w:sz w:val="15"/>
          <w:szCs w:val="15"/>
          <w:b w:val="1"/>
          <w:bCs w:val="1"/>
          <w:color w:val="auto"/>
        </w:rPr>
        <w:t xml:space="preserve">Elizabeth A. Hoff </w:t>
      </w:r>
      <w:r>
        <w:rPr>
          <w:rFonts w:ascii="Arial" w:cs="Arial" w:eastAsia="Arial" w:hAnsi="Arial"/>
          <w:sz w:val="15"/>
          <w:szCs w:val="15"/>
          <w:color w:val="auto"/>
        </w:rPr>
        <w:t>has served as a director of Artivion since October 2022. Ms. Hoff serves as President and Chief Executive Officer of</w:t>
      </w:r>
      <w:r>
        <w:rPr>
          <w:rFonts w:ascii="Arial" w:cs="Arial" w:eastAsia="Arial" w:hAnsi="Arial"/>
          <w:sz w:val="15"/>
          <w:szCs w:val="15"/>
          <w:b w:val="1"/>
          <w:bCs w:val="1"/>
          <w:color w:val="auto"/>
        </w:rPr>
        <w:t xml:space="preserve"> </w:t>
      </w:r>
      <w:r>
        <w:rPr>
          <w:rFonts w:ascii="Arial" w:cs="Arial" w:eastAsia="Arial" w:hAnsi="Arial"/>
          <w:sz w:val="15"/>
          <w:szCs w:val="15"/>
          <w:color w:val="auto"/>
        </w:rPr>
        <w:t>SOMAVAC Medical Solutions, Inc., a company that develops, manufacturers, and distributes deep tissue negative pressure therapy as an alternative to traditional post-surgical fluid removal. Previously, Ms. Hoff served as the Chief Evangelist at Galen Data, Inc., a company that provides turn-key FDA and CE Mark compliant platform technology for medical device-to-cloud connectivity and data analysis, where she served since April 2023. Ms. Hoff has 30 years of experience in the medical device and diagnostics industries and in the commercialization of transformational technologies. Ms. Hoff has served in various senior leadership roles related to, or in, the medical device field, including serving as the Executive Director of Business Development and Strategy at DM Clinical Research and as Chief Executive Officer or as an executive at several medical device start-up companies. Ms. Hoff also founded Hoff Professional Services where she offered consulting and executive coaching services to medical device leaders. Earlier in her career, Ms. Hoff gained in-depth global experience in the aortic space, first at Guidant, leading Guidant’s endovascular expansion in Europe, and then as a Business Unit Leader at W. L. Gore, launching and leading the endovascular</w:t>
      </w:r>
    </w:p>
    <w:p>
      <w:pPr>
        <w:spacing w:after="0" w:line="2" w:lineRule="exact"/>
        <w:rPr>
          <w:sz w:val="20"/>
          <w:szCs w:val="20"/>
          <w:color w:val="auto"/>
        </w:rPr>
      </w:pPr>
    </w:p>
    <w:p>
      <w:pPr>
        <w:jc w:val="both"/>
        <w:ind w:firstLine="1"/>
        <w:spacing w:after="0" w:line="254" w:lineRule="auto"/>
        <w:tabs>
          <w:tab w:leader="none" w:pos="371"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and thoracic stent graft programs. She gained further senior executive experience at Medtronic as Vice President and General Manager, where she defined and drove a ten-fold expansion in Medtronic’s implantable cardiac diagnostic platform (now the LinQ product family). Ms. Hoff received her Bachelor of Arts in Managerial Studies and Psychology from Rice University.</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14" w:name="page15"/>
    <w:bookmarkEnd w:id="14"/>
    <w:p>
      <w:pPr>
        <w:jc w:val="both"/>
        <w:ind w:firstLine="334"/>
        <w:spacing w:after="0" w:line="285" w:lineRule="auto"/>
        <w:rPr>
          <w:sz w:val="20"/>
          <w:szCs w:val="20"/>
          <w:color w:val="auto"/>
        </w:rPr>
      </w:pPr>
      <w:r>
        <w:rPr>
          <w:rFonts w:ascii="Arial" w:cs="Arial" w:eastAsia="Arial" w:hAnsi="Arial"/>
          <w:sz w:val="15"/>
          <w:szCs w:val="15"/>
          <w:color w:val="auto"/>
        </w:rPr>
        <w:t>The Board of Directors has determined that Ms. Hoff should serve as a director of Artivion because of her extensive senior leadership and business experience in the medical device industry across public and private companies, including in the aortic technology space.</w:t>
      </w:r>
    </w:p>
    <w:p>
      <w:pPr>
        <w:spacing w:after="0" w:line="87" w:lineRule="exact"/>
        <w:rPr>
          <w:sz w:val="20"/>
          <w:szCs w:val="20"/>
          <w:color w:val="auto"/>
        </w:rPr>
      </w:pPr>
    </w:p>
    <w:p>
      <w:pPr>
        <w:jc w:val="both"/>
        <w:ind w:firstLine="334"/>
        <w:spacing w:after="0" w:line="245" w:lineRule="auto"/>
        <w:rPr>
          <w:sz w:val="20"/>
          <w:szCs w:val="20"/>
          <w:color w:val="auto"/>
        </w:rPr>
      </w:pPr>
      <w:r>
        <w:rPr>
          <w:rFonts w:ascii="Arial" w:cs="Arial" w:eastAsia="Arial" w:hAnsi="Arial"/>
          <w:sz w:val="15"/>
          <w:szCs w:val="15"/>
          <w:b w:val="1"/>
          <w:bCs w:val="1"/>
          <w:color w:val="auto"/>
        </w:rPr>
        <w:t xml:space="preserve">J. Patrick Mackin </w:t>
      </w:r>
      <w:r>
        <w:rPr>
          <w:rFonts w:ascii="Arial" w:cs="Arial" w:eastAsia="Arial" w:hAnsi="Arial"/>
          <w:sz w:val="15"/>
          <w:szCs w:val="15"/>
          <w:color w:val="auto"/>
        </w:rPr>
        <w:t>was named President and Chief Executive Officer of Artivion in September 2014. He was appointed to the Artivion Board</w:t>
      </w:r>
      <w:r>
        <w:rPr>
          <w:rFonts w:ascii="Arial" w:cs="Arial" w:eastAsia="Arial" w:hAnsi="Arial"/>
          <w:sz w:val="15"/>
          <w:szCs w:val="15"/>
          <w:b w:val="1"/>
          <w:bCs w:val="1"/>
          <w:color w:val="auto"/>
        </w:rPr>
        <w:t xml:space="preserve"> </w:t>
      </w:r>
      <w:r>
        <w:rPr>
          <w:rFonts w:ascii="Arial" w:cs="Arial" w:eastAsia="Arial" w:hAnsi="Arial"/>
          <w:sz w:val="15"/>
          <w:szCs w:val="15"/>
          <w:color w:val="auto"/>
        </w:rPr>
        <w:t>of Directors in October 2014, and he was appointed Chairman of the Board of Directors in April 2015. Mr. Mackin has more than 30 years of experience in the medical device industry. Prior to joining Artivion, Mr. Mackin served as President of Cardiac Rhythm Disease Management, the then-largest operating division of Medtronic plc (NYSE: MDT) (“Medtronic”), from August 2007 to August 2014. At Medtronic, he previously held the positions of Vice President, Vascular, Western Europe and Vice President and General Manager, Endovascular Business Unit. Prior to joining Medtronic in 2002, Mr. Mackin worked for six years at Genzyme, Inc. (“Genzyme”), serving as Senior Vice President and General Manager for the Cardiovascular Surgery Business Unit and as Director of Sales, Surgical Products Division. Before joining Genzyme, Mr. Mackin spent four years at Deknatel/Snowden-Pencer, Inc. in various roles, and three years as a First Lieutenant in the U.S. Army. Mr. Mackin serves as a director of Route 92 Medical, a private neurovascular stroke device maker, and served as a director of Opsens, Inc. (TSXV: OPS and OTCQX: OPSSF), a fiber optic sensors manufacturer, from 2016 until that company was sold in December 2023, and as a director of Wright Medical Group N.V. (NASDAQ: WMGI) (“Wright Medical”), a global medical device company focused on extremities and biologics, from July 2018 until November 2020, when Wright Medical was acquired by Stryker Corporation (NYSE: SYK). Mr. Mackin received an MBA from the Kellogg Graduate School of Management at Northwestern University and is a graduate of the U.S. Military Academy at West Point.</w:t>
      </w:r>
    </w:p>
    <w:p>
      <w:pPr>
        <w:spacing w:after="0" w:line="126"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Board of Directors has determined that Mr. Mackin should serve as a director of Artivion because of his business acumen and substantial senior leadership experience in the global medical device industry. In addition, the Board of Directors believes that it is appropriate and valuable to have the President and Chief Executive Officer of Artivion serve as a member of the Board of Directors.</w:t>
      </w:r>
    </w:p>
    <w:p>
      <w:pPr>
        <w:spacing w:after="0" w:line="115" w:lineRule="exact"/>
        <w:rPr>
          <w:sz w:val="20"/>
          <w:szCs w:val="20"/>
          <w:color w:val="auto"/>
        </w:rPr>
      </w:pPr>
    </w:p>
    <w:p>
      <w:pPr>
        <w:jc w:val="both"/>
        <w:ind w:firstLine="334"/>
        <w:spacing w:after="0" w:line="246" w:lineRule="auto"/>
        <w:rPr>
          <w:sz w:val="20"/>
          <w:szCs w:val="20"/>
          <w:color w:val="auto"/>
        </w:rPr>
      </w:pPr>
      <w:r>
        <w:rPr>
          <w:rFonts w:ascii="Arial" w:cs="Arial" w:eastAsia="Arial" w:hAnsi="Arial"/>
          <w:sz w:val="15"/>
          <w:szCs w:val="15"/>
          <w:b w:val="1"/>
          <w:bCs w:val="1"/>
          <w:color w:val="auto"/>
        </w:rPr>
        <w:t xml:space="preserve">Jon W. Salveson </w:t>
      </w:r>
      <w:r>
        <w:rPr>
          <w:rFonts w:ascii="Arial" w:cs="Arial" w:eastAsia="Arial" w:hAnsi="Arial"/>
          <w:sz w:val="15"/>
          <w:szCs w:val="15"/>
          <w:color w:val="auto"/>
        </w:rPr>
        <w:t>has served as a director of Artivion since May 2012. Mr. Salveson is the Vice Chairman, Investment Banking and Chairman</w:t>
      </w:r>
      <w:r>
        <w:rPr>
          <w:rFonts w:ascii="Arial" w:cs="Arial" w:eastAsia="Arial" w:hAnsi="Arial"/>
          <w:sz w:val="15"/>
          <w:szCs w:val="15"/>
          <w:b w:val="1"/>
          <w:bCs w:val="1"/>
          <w:color w:val="auto"/>
        </w:rPr>
        <w:t xml:space="preserve"> </w:t>
      </w:r>
      <w:r>
        <w:rPr>
          <w:rFonts w:ascii="Arial" w:cs="Arial" w:eastAsia="Arial" w:hAnsi="Arial"/>
          <w:sz w:val="15"/>
          <w:szCs w:val="15"/>
          <w:color w:val="auto"/>
        </w:rPr>
        <w:t>of the Healthcare Investment Banking Group at Piper Sandler Companies (NYSE: PIPR), formerly Piper Jaffray Companies, a U.S. investment bank and asset management firm (“Piper Jaffray”). Mr. Salveson has served in his present position as Vice Chairman, Investment Banking since July 2010. Mr. Salveson was appointed Global Head of Investment Banking and a member of the Executive Committee of Piper Jaffray in 2004. He joined Piper Jaffray in 1993 as an associate, was elected Managing Director in 1999, and was named Group Head of Piper Jaffray’s international healthcare investment banking group in 2001. Mr. Salveson has served on the board of Enterra Medical, a private company focusing on the treatment of gastroparesis with neurostimulation, since 2023. Additionally, Mr. Salveson previously served on the board of Asklepios Biopharmaceuticals, Inc., a private company specializing in gene therapy technologies, which was acquired by Bayer AG (ETR: BAYN) in 2020, and recently served on the Board of Directors of Nuwellis, Inc. (NASDAQ: NUWE), an early-stage medical device company, until 2023. Mr. Salveson received his undergraduate degree from St. Olaf College in 1987 and an M.M.M. in finance from the Kellogg Graduate School of Management at Northwestern University.</w:t>
      </w:r>
    </w:p>
    <w:p>
      <w:pPr>
        <w:spacing w:after="0" w:line="299"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Board of Directors has determined that Mr. Salveson should serve as a director of Artivion because of his extensive experience in the healthcare industry and the medical technology sector, and, particularly, his extensive experience in strategic advisory roles for global healthcare companies in hundreds of transactions.</w:t>
      </w:r>
    </w:p>
    <w:p>
      <w:pPr>
        <w:spacing w:after="0" w:line="104"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5"/>
          <w:szCs w:val="15"/>
          <w:b w:val="1"/>
          <w:bCs w:val="1"/>
          <w:color w:val="auto"/>
        </w:rPr>
        <w:t xml:space="preserve">Anthony B. Semedo </w:t>
      </w:r>
      <w:r>
        <w:rPr>
          <w:rFonts w:ascii="Arial" w:cs="Arial" w:eastAsia="Arial" w:hAnsi="Arial"/>
          <w:sz w:val="15"/>
          <w:szCs w:val="15"/>
          <w:color w:val="auto"/>
        </w:rPr>
        <w:t>has served as a director of Artivion since October 2021. Mr. Semedo has over 40 years of U.S. and international</w:t>
      </w:r>
      <w:r>
        <w:rPr>
          <w:rFonts w:ascii="Arial" w:cs="Arial" w:eastAsia="Arial" w:hAnsi="Arial"/>
          <w:sz w:val="15"/>
          <w:szCs w:val="15"/>
          <w:b w:val="1"/>
          <w:bCs w:val="1"/>
          <w:color w:val="auto"/>
        </w:rPr>
        <w:t xml:space="preserve"> </w:t>
      </w:r>
      <w:r>
        <w:rPr>
          <w:rFonts w:ascii="Arial" w:cs="Arial" w:eastAsia="Arial" w:hAnsi="Arial"/>
          <w:sz w:val="15"/>
          <w:szCs w:val="15"/>
          <w:color w:val="auto"/>
        </w:rPr>
        <w:t>experience in the medical device industry. Until late 2019, Mr. Semedo served as Senior Vice President and President of Japan Operations at Medtronic, where he led multiple business units and functions. Through his tenure at Medtronic from 2002 to 2019, Mr. Semedo held several executive management positions, including Senior Vice President and President of the company’s Aortic, Peripheral, and Venous (APV) Division and Senior Vice President and President of Endovascular Innovations. During his time at Medtronic, Mr. Semedo also served as Vice President of Medtronic’s Japan Cardiovascular Business and as Global Vice President of Vascular Research and Development. Prior to 2002, Mr. Semedo spent time at Alaris Medical Systems, Eli Lilly &amp; Co., and Abbott Laboratories. Mr. Semedo received his Bachelor of Science in Engineering from the University of Massachusetts.</w:t>
      </w:r>
    </w:p>
    <w:p>
      <w:pPr>
        <w:spacing w:after="0" w:line="130"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Board of Directors has determined that Mr. Semedo should serve as a director of Artivion because of his extensive knowledge of and extensive leadership experience in the medical device industry, including in the aortic technology space.</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Required Vote</w:t>
      </w:r>
    </w:p>
    <w:p>
      <w:pPr>
        <w:spacing w:after="0" w:line="110"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Nominees for election as directors will be elected by a plurality of the votes cast by the holders of shares entitled to vote in the election. Since there are nine directorships to be filled, the nine individuals receiving the most votes will be elected. Accordingly, abstentions and broker non-votes will not be relevant to the outcome.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Board of Directors’ Recommendation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BOARD OF DIRECTORS RECOMMENDS THAT YOU VOTE “FOR” EACH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NINE NOMINEES FOR DIRECTOR LISTED IN THIS PROPOSAL ONE.</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CORPORATE GOVERNANCE AND BOARD OF DIRECTORS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Our Board of Directors believes that the purpose of corporate governance is to serve the interests of the Company and the Company’s stockholders in a manner that is consistent with the Board of Directors’ fiduciary duties and the Company’s mission and core values. The Board of Directors has adopted and adheres to corporate governance practices that the Board of Directors and senior management believe promote this purpose, are sound, and represent best practices applicable to the Company. The Board of Directors reviews these practices on an ongoing basis and revises them as appropriate.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110"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In connection with its annual review in the first quarter of 2026, and based on the information available to it, the Board of Directors determined that none of Mses. Borgstrom or Hoff, or Messrs. Ackerman, Bevevino, Bullock, Burbank, Salveson, or Semedo has or had a material relationship with Artivion and that each qualified as an independent director under NYSE Listing Standards.</w:t>
      </w:r>
    </w:p>
    <w:p>
      <w:pPr>
        <w:spacing w:after="0" w:line="117"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color w:val="auto"/>
        </w:rPr>
        <w:t>In addition to qualifying as “independent” within the meaning of Section 303A.02 of the NYSE Listing Company Standards, the Board of Directors has determined that each member of the Compensation Committee is a “non-employee director” within the meaning of Rule 16b-3 under the Exchange Act. Further, in determining the independence of any director who will serve on the Compensation Committee, the Board of Directors considers all factors relevant to determining whether such director has a relationship with the Company that is material to the director’s ability to be independent from management in connection with the duties of a Compensation Committee member, including, but not limited to (i) the source of compensation of such director, including any consulting, advisory, or other compensatory fee paid by the Company to the director and (ii) whether such director is affiliated with the Company, one of its subsidiaries, or an affiliate of one of its subsidiaries.</w:t>
      </w:r>
    </w:p>
    <w:p>
      <w:pPr>
        <w:spacing w:after="0" w:line="116"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In addition to qualifying as “independent” within the meaning of Section 303A.02 of the NYSE Listing Standards, the Board of Directors has determined that each member of the Audit Committee also meets the criteria of Section 303A.06 of the NYSE Listing Standards and Rule 10A-3 promulgated under the Exchange Act.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Board of Directors’ Right to Retain Advisors</w:t>
      </w:r>
    </w:p>
    <w:p>
      <w:pPr>
        <w:spacing w:after="0" w:line="122"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Board of Directors has authorized its committees to retain their own advisors, such as auditors, compensation consultants, search firms, legal counsel, and others, to the extent the applicable committee deems it appropriate.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Board of Directors’ Leadership Structure</w:t>
      </w:r>
    </w:p>
    <w:p>
      <w:pPr>
        <w:spacing w:after="0" w:line="122"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Mr. Mackin, the President and Chief Executive Officer of Artivion, serves as Chairman of the Board of Directors. The Board of Directors believes that this structure promotes fluid communication and coordination between the Board of Directors and management. The Board of Directors also believes that Mr. Mackin is well-suited to fill both his management and Board of Directors roles and that the Board of Directors benefits from him serving these dual roles.</w:t>
      </w:r>
    </w:p>
    <w:p>
      <w:pPr>
        <w:spacing w:after="0" w:line="111"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To foster the Board of Directors’ independence from management, the leadership structure of the Board of Directors also includes a Lead Director, a position held by an independent director. Mr. Burbank assumed the role of Lead Director in March 2021. The Lead Director has frequent contact with Mr. Mackin and other members of management on a broad range of matters and has additional corporate governance responsibilities for the Board of Directors, including presiding over all executive sessions of the Board. The Lead Director also serves as liaison between Mr. Mackin and the independent</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16" w:name="page17"/>
    <w:bookmarkEnd w:id="16"/>
    <w:p>
      <w:pPr>
        <w:jc w:val="both"/>
        <w:spacing w:after="0" w:line="263" w:lineRule="auto"/>
        <w:rPr>
          <w:sz w:val="20"/>
          <w:szCs w:val="20"/>
          <w:color w:val="auto"/>
        </w:rPr>
      </w:pPr>
      <w:r>
        <w:rPr>
          <w:rFonts w:ascii="Arial" w:cs="Arial" w:eastAsia="Arial" w:hAnsi="Arial"/>
          <w:sz w:val="15"/>
          <w:szCs w:val="15"/>
          <w:color w:val="auto"/>
        </w:rPr>
        <w:t>directors, approves meeting agendas and schedules to ensure there is sufficient time for discussion of all agenda items, approves certain information sent to the Board of Directors, and has the authority to call meetings of the independent directors. Stockholders can seek to directly consult with independent directors.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Board of Directors’ Role in Risk Oversight</w:t>
      </w:r>
    </w:p>
    <w:p>
      <w:pPr>
        <w:spacing w:after="0" w:line="122"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The Board of Directors has an active role, as a whole and also at the committee level, in overseeing the management of our risks. Management is primarily responsible for risk management, and management reports directly to the committees and the Board of Directors with respect to risk management. The Board of Directors is responsible for general oversight of risks and regular review of information regarding our risks, including credit, information security (including cybersecurity and data privacy), the ethical and compliant use of artificial intelligence, liquidity, regulatory, sustainability, human capital, and operational risks. In its risk-oversight role, the Board of Directors periodically reviews the Company’s strategic plan, as well as an assessment of potential material risks facing the Company.</w:t>
      </w:r>
    </w:p>
    <w:p>
      <w:pPr>
        <w:spacing w:after="0" w:line="117" w:lineRule="exact"/>
        <w:rPr>
          <w:sz w:val="20"/>
          <w:szCs w:val="20"/>
          <w:color w:val="auto"/>
        </w:rPr>
      </w:pPr>
    </w:p>
    <w:p>
      <w:pPr>
        <w:jc w:val="both"/>
        <w:ind w:firstLine="334"/>
        <w:spacing w:after="0" w:line="245" w:lineRule="auto"/>
        <w:rPr>
          <w:sz w:val="20"/>
          <w:szCs w:val="20"/>
          <w:color w:val="auto"/>
        </w:rPr>
      </w:pPr>
      <w:r>
        <w:rPr>
          <w:rFonts w:ascii="Arial" w:cs="Arial" w:eastAsia="Arial" w:hAnsi="Arial"/>
          <w:sz w:val="15"/>
          <w:szCs w:val="15"/>
          <w:color w:val="auto"/>
        </w:rPr>
        <w:t>In particular, the Compensation Committee is responsible for ensuring that our compensation policies and practices do not incent excessive or inappropriate risk-taking by employees or non-employee directors. The Compensation Committee also has oversight of Human Capital Management and, along with the Innovation and Healthcare Compliance and Audit Committees, culture. The Audit Committee, in coordination with Ernst &amp; Young LLP, our independent registered public accounting firm, is primarily responsible for oversight of our internal controls, operation of our internal audit, risk assessment, and risk management, including information security oversight, and various financial and compliance functions. The Audit Committee’s information security oversight role includes responsibility for overseeing the Company’s global information security and information technology risks, controls, and procedures and utilizing independent cybersecurity auditors to support that function where appropriate. More detail regarding the Audit Committee’s oversight of information security is located in the Report of the Audit Committee at page 23. The Corporate Governance Committee monitors risk by ensuring that proper corporate governance standards are maintained, that the Board of Directors is comprised of qualified directors, and that senior management is comprised of qualified executive officers. The Innovation and Healthcare Compliance Committee is primarily responsible for oversight of our healthcare compliance function, including our compliance with quality systems and regulatory assurance laws and regulations, as well as our compliance with other healthcare compliance laws and regulations. Together with the Audit Committee, the Innovation and Healthcare Compliance Committee also exercises oversight of Enterprise Risk Management and our compliance with certain laws and regulations, such as the European Union General Data Protection Regulation (“GDPR”) and the United States Foreign Corrupt Practices Act (“FCPA”), and policies such as our Code of Conduct.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of Directors and Committee Meetings, Annual Meeting of Stockholders, and Attendance</w:t>
      </w:r>
    </w:p>
    <w:p>
      <w:pPr>
        <w:spacing w:after="0" w:line="122"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During 2025, each director attended, either in person or virtually, at least 75% of the meetings of the Board of Directors and the committees of the Board of Directors on which the director served. In general, members of the Board of Directors become members of committees immediately following the Annual Meeting of Stockholders.</w:t>
      </w:r>
    </w:p>
    <w:p>
      <w:pPr>
        <w:spacing w:after="0" w:line="106"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Board of Directors held nine meetings during 2025. In addition, nine members of the Board of Directors attended the 2025 Annual Meeting of Stockholders, which was held virtually. The Company does not have a policy requiring directors to attend the annual meeting, but it encourages such attendance.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Standing Committees of the Board of Directors; Committee Assignments</w:t>
      </w:r>
    </w:p>
    <w:p>
      <w:pPr>
        <w:spacing w:after="0" w:line="110"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During 2025, the Board of Directors had four standing committees: the Audit Committee; the Compensation Committee; the Corporate Governance Committee; and the Innovation and Healthcare Compliance Committee. During 2025, the Audit Committee met six times, the Compensation Committee met six times, the Corporate Governance Committee met five times, the Innovation and Healthcare Compliance Committee met four times, the Compensation Committee and the Corporate Governance Committee met jointly one time, and the Audit Committee and the Innovation and Healthcare Compliance Committee met jointly one time.</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17" w:name="page18"/>
    <w:bookmarkEnd w:id="17"/>
    <w:p>
      <w:pPr>
        <w:jc w:val="both"/>
        <w:ind w:firstLine="334"/>
        <w:spacing w:after="0" w:line="285" w:lineRule="auto"/>
        <w:rPr>
          <w:sz w:val="20"/>
          <w:szCs w:val="20"/>
          <w:color w:val="auto"/>
        </w:rPr>
      </w:pPr>
      <w:r>
        <w:rPr>
          <w:rFonts w:ascii="Arial" w:cs="Arial" w:eastAsia="Arial" w:hAnsi="Arial"/>
          <w:sz w:val="15"/>
          <w:szCs w:val="15"/>
          <w:color w:val="auto"/>
        </w:rPr>
        <w:t>The four standing committees are described below, and the following table lists the members of each of the standing committees as of the date of this Proxy Statement.</w:t>
      </w:r>
    </w:p>
    <w:p>
      <w:pPr>
        <w:spacing w:after="0" w:line="110"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Innovation and</w:t>
            </w:r>
          </w:p>
        </w:tc>
      </w:tr>
      <w:tr>
        <w:trPr>
          <w:trHeight w:val="174"/>
        </w:trPr>
        <w:tc>
          <w:tcPr>
            <w:tcW w:w="4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jc w:val="center"/>
              <w:ind w:left="3"/>
              <w:spacing w:after="0"/>
              <w:rPr>
                <w:sz w:val="20"/>
                <w:szCs w:val="20"/>
                <w:color w:val="auto"/>
              </w:rPr>
            </w:pPr>
            <w:r>
              <w:rPr>
                <w:rFonts w:ascii="Arial" w:cs="Arial" w:eastAsia="Arial" w:hAnsi="Arial"/>
                <w:sz w:val="15"/>
                <w:szCs w:val="15"/>
                <w:b w:val="1"/>
                <w:bCs w:val="1"/>
                <w:color w:val="auto"/>
              </w:rPr>
              <w:t>Corporate</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Healthcare</w:t>
            </w:r>
          </w:p>
        </w:tc>
      </w:tr>
      <w:tr>
        <w:trPr>
          <w:trHeight w:val="174"/>
        </w:trPr>
        <w:tc>
          <w:tcPr>
            <w:tcW w:w="43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99"/>
              </w:rPr>
              <w:t>Audit</w:t>
            </w: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rPr>
              <w:t>Compensation</w:t>
            </w:r>
          </w:p>
        </w:tc>
        <w:tc>
          <w:tcPr>
            <w:tcW w:w="1140" w:type="dxa"/>
            <w:vAlign w:val="bottom"/>
          </w:tcPr>
          <w:p>
            <w:pPr>
              <w:jc w:val="center"/>
              <w:ind w:left="3"/>
              <w:spacing w:after="0"/>
              <w:rPr>
                <w:sz w:val="20"/>
                <w:szCs w:val="20"/>
                <w:color w:val="auto"/>
              </w:rPr>
            </w:pPr>
            <w:r>
              <w:rPr>
                <w:rFonts w:ascii="Arial" w:cs="Arial" w:eastAsia="Arial" w:hAnsi="Arial"/>
                <w:sz w:val="15"/>
                <w:szCs w:val="15"/>
                <w:b w:val="1"/>
                <w:bCs w:val="1"/>
                <w:color w:val="auto"/>
              </w:rPr>
              <w:t>Governance</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Compliance</w:t>
            </w:r>
          </w:p>
        </w:tc>
      </w:tr>
      <w:tr>
        <w:trPr>
          <w:trHeight w:val="198"/>
        </w:trPr>
        <w:tc>
          <w:tcPr>
            <w:tcW w:w="4340" w:type="dxa"/>
            <w:vAlign w:val="bottom"/>
            <w:tcBorders>
              <w:bottom w:val="single" w:sz="8" w:color="auto"/>
            </w:tcBorders>
          </w:tcPr>
          <w:p>
            <w:pPr>
              <w:ind w:left="1860"/>
              <w:spacing w:after="0"/>
              <w:rPr>
                <w:sz w:val="20"/>
                <w:szCs w:val="20"/>
                <w:color w:val="auto"/>
              </w:rPr>
            </w:pPr>
            <w:r>
              <w:rPr>
                <w:rFonts w:ascii="Arial" w:cs="Arial" w:eastAsia="Arial" w:hAnsi="Arial"/>
                <w:sz w:val="15"/>
                <w:szCs w:val="15"/>
                <w:b w:val="1"/>
                <w:bCs w:val="1"/>
                <w:color w:val="auto"/>
              </w:rPr>
              <w:t>Director</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Committee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Committee</w:t>
            </w:r>
          </w:p>
        </w:tc>
        <w:tc>
          <w:tcPr>
            <w:tcW w:w="114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b w:val="1"/>
                <w:bCs w:val="1"/>
                <w:color w:val="auto"/>
              </w:rPr>
              <w:t>Committee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Committee</w:t>
            </w:r>
          </w:p>
        </w:tc>
      </w:tr>
      <w:tr>
        <w:trPr>
          <w:trHeight w:val="190"/>
        </w:trPr>
        <w:tc>
          <w:tcPr>
            <w:tcW w:w="4340" w:type="dxa"/>
            <w:vAlign w:val="bottom"/>
            <w:shd w:val="clear" w:color="auto" w:fill="DFE4EA"/>
          </w:tcPr>
          <w:p>
            <w:pPr>
              <w:spacing w:after="0"/>
              <w:rPr>
                <w:sz w:val="20"/>
                <w:szCs w:val="20"/>
                <w:color w:val="auto"/>
              </w:rPr>
            </w:pPr>
            <w:r>
              <w:rPr>
                <w:rFonts w:ascii="Arial" w:cs="Arial" w:eastAsia="Arial" w:hAnsi="Arial"/>
                <w:sz w:val="15"/>
                <w:szCs w:val="15"/>
                <w:color w:val="auto"/>
              </w:rPr>
              <w:t>J. Patrick Mackin, Chairman, President, and Chief Executive</w:t>
            </w:r>
          </w:p>
        </w:tc>
        <w:tc>
          <w:tcPr>
            <w:tcW w:w="1200" w:type="dxa"/>
            <w:vAlign w:val="bottom"/>
            <w:shd w:val="clear" w:color="auto" w:fill="DFE4EA"/>
          </w:tcPr>
          <w:p>
            <w:pPr>
              <w:spacing w:after="0"/>
              <w:rPr>
                <w:sz w:val="16"/>
                <w:szCs w:val="16"/>
                <w:color w:val="auto"/>
              </w:rPr>
            </w:pPr>
          </w:p>
        </w:tc>
        <w:tc>
          <w:tcPr>
            <w:tcW w:w="1440" w:type="dxa"/>
            <w:vAlign w:val="bottom"/>
            <w:shd w:val="clear" w:color="auto" w:fill="DFE4EA"/>
          </w:tcPr>
          <w:p>
            <w:pPr>
              <w:spacing w:after="0"/>
              <w:rPr>
                <w:sz w:val="16"/>
                <w:szCs w:val="16"/>
                <w:color w:val="auto"/>
              </w:rPr>
            </w:pPr>
          </w:p>
        </w:tc>
        <w:tc>
          <w:tcPr>
            <w:tcW w:w="1140" w:type="dxa"/>
            <w:vAlign w:val="bottom"/>
            <w:shd w:val="clear" w:color="auto" w:fill="DFE4EA"/>
          </w:tcPr>
          <w:p>
            <w:pPr>
              <w:spacing w:after="0"/>
              <w:rPr>
                <w:sz w:val="16"/>
                <w:szCs w:val="16"/>
                <w:color w:val="auto"/>
              </w:rPr>
            </w:pPr>
          </w:p>
        </w:tc>
        <w:tc>
          <w:tcPr>
            <w:tcW w:w="1240" w:type="dxa"/>
            <w:vAlign w:val="bottom"/>
            <w:shd w:val="clear" w:color="auto" w:fill="DFE4EA"/>
          </w:tcPr>
          <w:p>
            <w:pPr>
              <w:spacing w:after="0"/>
              <w:rPr>
                <w:sz w:val="16"/>
                <w:szCs w:val="16"/>
                <w:color w:val="auto"/>
              </w:rPr>
            </w:pPr>
          </w:p>
        </w:tc>
      </w:tr>
      <w:tr>
        <w:trPr>
          <w:trHeight w:val="212"/>
        </w:trPr>
        <w:tc>
          <w:tcPr>
            <w:tcW w:w="4340" w:type="dxa"/>
            <w:vAlign w:val="bottom"/>
            <w:shd w:val="clear" w:color="auto" w:fill="DFE4EA"/>
          </w:tcPr>
          <w:p>
            <w:pPr>
              <w:spacing w:after="0"/>
              <w:rPr>
                <w:sz w:val="20"/>
                <w:szCs w:val="20"/>
                <w:color w:val="auto"/>
              </w:rPr>
            </w:pPr>
            <w:r>
              <w:rPr>
                <w:rFonts w:ascii="Arial" w:cs="Arial" w:eastAsia="Arial" w:hAnsi="Arial"/>
                <w:sz w:val="15"/>
                <w:szCs w:val="15"/>
                <w:color w:val="auto"/>
              </w:rPr>
              <w:t>Officer</w:t>
            </w:r>
          </w:p>
        </w:tc>
        <w:tc>
          <w:tcPr>
            <w:tcW w:w="1200" w:type="dxa"/>
            <w:vAlign w:val="bottom"/>
            <w:shd w:val="clear" w:color="auto" w:fill="DFE4EA"/>
          </w:tcPr>
          <w:p>
            <w:pPr>
              <w:spacing w:after="0"/>
              <w:rPr>
                <w:sz w:val="18"/>
                <w:szCs w:val="18"/>
                <w:color w:val="auto"/>
              </w:rPr>
            </w:pPr>
          </w:p>
        </w:tc>
        <w:tc>
          <w:tcPr>
            <w:tcW w:w="1440" w:type="dxa"/>
            <w:vAlign w:val="bottom"/>
            <w:shd w:val="clear" w:color="auto" w:fill="DFE4EA"/>
          </w:tcPr>
          <w:p>
            <w:pPr>
              <w:spacing w:after="0"/>
              <w:rPr>
                <w:sz w:val="18"/>
                <w:szCs w:val="18"/>
                <w:color w:val="auto"/>
              </w:rPr>
            </w:pPr>
          </w:p>
        </w:tc>
        <w:tc>
          <w:tcPr>
            <w:tcW w:w="1140" w:type="dxa"/>
            <w:vAlign w:val="bottom"/>
            <w:shd w:val="clear" w:color="auto" w:fill="DFE4EA"/>
          </w:tcPr>
          <w:p>
            <w:pPr>
              <w:spacing w:after="0"/>
              <w:rPr>
                <w:sz w:val="18"/>
                <w:szCs w:val="18"/>
                <w:color w:val="auto"/>
              </w:rPr>
            </w:pPr>
          </w:p>
        </w:tc>
        <w:tc>
          <w:tcPr>
            <w:tcW w:w="1240" w:type="dxa"/>
            <w:vAlign w:val="bottom"/>
            <w:shd w:val="clear" w:color="auto" w:fill="DFE4EA"/>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5"/>
                <w:szCs w:val="15"/>
                <w:color w:val="auto"/>
              </w:rPr>
              <w:t>Thomas F. Ackerman</w:t>
            </w:r>
          </w:p>
        </w:tc>
        <w:tc>
          <w:tcPr>
            <w:tcW w:w="1200" w:type="dxa"/>
            <w:vAlign w:val="bottom"/>
          </w:tcPr>
          <w:p>
            <w:pPr>
              <w:jc w:val="center"/>
              <w:spacing w:after="0"/>
              <w:rPr>
                <w:sz w:val="20"/>
                <w:szCs w:val="20"/>
                <w:color w:val="auto"/>
              </w:rPr>
            </w:pPr>
            <w:r>
              <w:rPr>
                <w:rFonts w:ascii="Arial" w:cs="Arial" w:eastAsia="Arial" w:hAnsi="Arial"/>
                <w:sz w:val="15"/>
                <w:szCs w:val="15"/>
                <w:color w:val="auto"/>
              </w:rPr>
              <w:t>Chair</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96"/>
              </w:rPr>
              <w:t>√</w:t>
            </w:r>
          </w:p>
        </w:tc>
      </w:tr>
      <w:tr>
        <w:trPr>
          <w:trHeight w:val="224"/>
        </w:trPr>
        <w:tc>
          <w:tcPr>
            <w:tcW w:w="4340" w:type="dxa"/>
            <w:vAlign w:val="bottom"/>
            <w:shd w:val="clear" w:color="auto" w:fill="DFE4EA"/>
          </w:tcPr>
          <w:p>
            <w:pPr>
              <w:spacing w:after="0"/>
              <w:rPr>
                <w:sz w:val="20"/>
                <w:szCs w:val="20"/>
                <w:color w:val="auto"/>
              </w:rPr>
            </w:pPr>
            <w:r>
              <w:rPr>
                <w:rFonts w:ascii="Arial" w:cs="Arial" w:eastAsia="Arial" w:hAnsi="Arial"/>
                <w:sz w:val="15"/>
                <w:szCs w:val="15"/>
                <w:color w:val="auto"/>
              </w:rPr>
              <w:t>Daniel J. Bevevino</w:t>
            </w:r>
          </w:p>
        </w:tc>
        <w:tc>
          <w:tcPr>
            <w:tcW w:w="12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c>
          <w:tcPr>
            <w:tcW w:w="14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Chair</w:t>
            </w:r>
          </w:p>
        </w:tc>
        <w:tc>
          <w:tcPr>
            <w:tcW w:w="1140" w:type="dxa"/>
            <w:vAlign w:val="bottom"/>
            <w:shd w:val="clear" w:color="auto" w:fill="DFE4EA"/>
          </w:tcPr>
          <w:p>
            <w:pPr>
              <w:spacing w:after="0"/>
              <w:rPr>
                <w:sz w:val="19"/>
                <w:szCs w:val="19"/>
                <w:color w:val="auto"/>
              </w:rPr>
            </w:pPr>
          </w:p>
        </w:tc>
        <w:tc>
          <w:tcPr>
            <w:tcW w:w="1240" w:type="dxa"/>
            <w:vAlign w:val="bottom"/>
            <w:shd w:val="clear" w:color="auto" w:fill="DFE4EA"/>
          </w:tcPr>
          <w:p>
            <w:pPr>
              <w:spacing w:after="0"/>
              <w:rPr>
                <w:sz w:val="19"/>
                <w:szCs w:val="19"/>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5"/>
                <w:szCs w:val="15"/>
                <w:color w:val="auto"/>
              </w:rPr>
              <w:t>Marna P. Borgstrom</w:t>
            </w: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jc w:val="center"/>
              <w:ind w:left="23"/>
              <w:spacing w:after="0"/>
              <w:rPr>
                <w:sz w:val="20"/>
                <w:szCs w:val="20"/>
                <w:color w:val="auto"/>
              </w:rPr>
            </w:pPr>
            <w:r>
              <w:rPr>
                <w:rFonts w:ascii="Arial" w:cs="Arial" w:eastAsia="Arial" w:hAnsi="Arial"/>
                <w:sz w:val="15"/>
                <w:szCs w:val="15"/>
                <w:color w:val="auto"/>
                <w:w w:val="96"/>
              </w:rPr>
              <w:t>√</w:t>
            </w:r>
          </w:p>
        </w:tc>
        <w:tc>
          <w:tcPr>
            <w:tcW w:w="1240" w:type="dxa"/>
            <w:vAlign w:val="bottom"/>
          </w:tcPr>
          <w:p>
            <w:pPr>
              <w:jc w:val="center"/>
              <w:spacing w:after="0"/>
              <w:rPr>
                <w:sz w:val="20"/>
                <w:szCs w:val="20"/>
                <w:color w:val="auto"/>
              </w:rPr>
            </w:pPr>
            <w:r>
              <w:rPr>
                <w:rFonts w:ascii="Arial" w:cs="Arial" w:eastAsia="Arial" w:hAnsi="Arial"/>
                <w:sz w:val="15"/>
                <w:szCs w:val="15"/>
                <w:color w:val="auto"/>
              </w:rPr>
              <w:t>Chair</w:t>
            </w:r>
          </w:p>
        </w:tc>
      </w:tr>
      <w:tr>
        <w:trPr>
          <w:trHeight w:val="224"/>
        </w:trPr>
        <w:tc>
          <w:tcPr>
            <w:tcW w:w="4340" w:type="dxa"/>
            <w:vAlign w:val="bottom"/>
            <w:shd w:val="clear" w:color="auto" w:fill="DFE4EA"/>
          </w:tcPr>
          <w:p>
            <w:pPr>
              <w:spacing w:after="0"/>
              <w:rPr>
                <w:sz w:val="20"/>
                <w:szCs w:val="20"/>
                <w:color w:val="auto"/>
              </w:rPr>
            </w:pPr>
            <w:r>
              <w:rPr>
                <w:rFonts w:ascii="Arial" w:cs="Arial" w:eastAsia="Arial" w:hAnsi="Arial"/>
                <w:sz w:val="15"/>
                <w:szCs w:val="15"/>
                <w:color w:val="auto"/>
              </w:rPr>
              <w:t>James W. Bullock</w:t>
            </w:r>
          </w:p>
        </w:tc>
        <w:tc>
          <w:tcPr>
            <w:tcW w:w="1200" w:type="dxa"/>
            <w:vAlign w:val="bottom"/>
            <w:shd w:val="clear" w:color="auto" w:fill="DFE4EA"/>
          </w:tcPr>
          <w:p>
            <w:pPr>
              <w:spacing w:after="0"/>
              <w:rPr>
                <w:sz w:val="19"/>
                <w:szCs w:val="19"/>
                <w:color w:val="auto"/>
              </w:rPr>
            </w:pPr>
          </w:p>
        </w:tc>
        <w:tc>
          <w:tcPr>
            <w:tcW w:w="144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6"/>
              </w:rPr>
              <w:t>√</w:t>
            </w:r>
          </w:p>
        </w:tc>
        <w:tc>
          <w:tcPr>
            <w:tcW w:w="1140" w:type="dxa"/>
            <w:vAlign w:val="bottom"/>
            <w:shd w:val="clear" w:color="auto" w:fill="DFE4EA"/>
          </w:tcPr>
          <w:p>
            <w:pPr>
              <w:spacing w:after="0"/>
              <w:rPr>
                <w:sz w:val="19"/>
                <w:szCs w:val="19"/>
                <w:color w:val="auto"/>
              </w:rPr>
            </w:pPr>
          </w:p>
        </w:tc>
        <w:tc>
          <w:tcPr>
            <w:tcW w:w="124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6"/>
              </w:rPr>
              <w:t>√</w:t>
            </w:r>
          </w:p>
        </w:tc>
      </w:tr>
      <w:tr>
        <w:trPr>
          <w:trHeight w:val="216"/>
        </w:trPr>
        <w:tc>
          <w:tcPr>
            <w:tcW w:w="4340" w:type="dxa"/>
            <w:vAlign w:val="bottom"/>
          </w:tcPr>
          <w:p>
            <w:pPr>
              <w:spacing w:after="0"/>
              <w:rPr>
                <w:sz w:val="20"/>
                <w:szCs w:val="20"/>
                <w:color w:val="auto"/>
              </w:rPr>
            </w:pPr>
            <w:r>
              <w:rPr>
                <w:rFonts w:ascii="Arial" w:cs="Arial" w:eastAsia="Arial" w:hAnsi="Arial"/>
                <w:sz w:val="15"/>
                <w:szCs w:val="15"/>
                <w:color w:val="auto"/>
              </w:rPr>
              <w:t>Jeffrey H. Burbank, Lead Director</w:t>
            </w:r>
          </w:p>
        </w:tc>
        <w:tc>
          <w:tcPr>
            <w:tcW w:w="1200" w:type="dxa"/>
            <w:vAlign w:val="bottom"/>
          </w:tcPr>
          <w:p>
            <w:pPr>
              <w:jc w:val="center"/>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8"/>
                <w:szCs w:val="18"/>
                <w:color w:val="auto"/>
              </w:rPr>
            </w:pPr>
          </w:p>
        </w:tc>
        <w:tc>
          <w:tcPr>
            <w:tcW w:w="1140" w:type="dxa"/>
            <w:vAlign w:val="bottom"/>
          </w:tcPr>
          <w:p>
            <w:pPr>
              <w:jc w:val="center"/>
              <w:ind w:left="3"/>
              <w:spacing w:after="0"/>
              <w:rPr>
                <w:sz w:val="20"/>
                <w:szCs w:val="20"/>
                <w:color w:val="auto"/>
              </w:rPr>
            </w:pPr>
            <w:r>
              <w:rPr>
                <w:rFonts w:ascii="Arial" w:cs="Arial" w:eastAsia="Arial" w:hAnsi="Arial"/>
                <w:sz w:val="15"/>
                <w:szCs w:val="15"/>
                <w:color w:val="auto"/>
              </w:rPr>
              <w:t>Chair</w:t>
            </w:r>
          </w:p>
        </w:tc>
        <w:tc>
          <w:tcPr>
            <w:tcW w:w="1240" w:type="dxa"/>
            <w:vAlign w:val="bottom"/>
          </w:tcPr>
          <w:p>
            <w:pPr>
              <w:spacing w:after="0"/>
              <w:rPr>
                <w:sz w:val="18"/>
                <w:szCs w:val="18"/>
                <w:color w:val="auto"/>
              </w:rPr>
            </w:pPr>
          </w:p>
        </w:tc>
      </w:tr>
      <w:tr>
        <w:trPr>
          <w:trHeight w:val="224"/>
        </w:trPr>
        <w:tc>
          <w:tcPr>
            <w:tcW w:w="4340" w:type="dxa"/>
            <w:vAlign w:val="bottom"/>
            <w:shd w:val="clear" w:color="auto" w:fill="DFE4EA"/>
          </w:tcPr>
          <w:p>
            <w:pPr>
              <w:spacing w:after="0"/>
              <w:rPr>
                <w:sz w:val="20"/>
                <w:szCs w:val="20"/>
                <w:color w:val="auto"/>
              </w:rPr>
            </w:pPr>
            <w:r>
              <w:rPr>
                <w:rFonts w:ascii="Arial" w:cs="Arial" w:eastAsia="Arial" w:hAnsi="Arial"/>
                <w:sz w:val="15"/>
                <w:szCs w:val="15"/>
                <w:color w:val="auto"/>
              </w:rPr>
              <w:t>Elizabeth A. Hoff</w:t>
            </w:r>
          </w:p>
        </w:tc>
        <w:tc>
          <w:tcPr>
            <w:tcW w:w="1200" w:type="dxa"/>
            <w:vAlign w:val="bottom"/>
            <w:shd w:val="clear" w:color="auto" w:fill="DFE4EA"/>
          </w:tcPr>
          <w:p>
            <w:pPr>
              <w:spacing w:after="0"/>
              <w:rPr>
                <w:sz w:val="19"/>
                <w:szCs w:val="19"/>
                <w:color w:val="auto"/>
              </w:rPr>
            </w:pPr>
          </w:p>
        </w:tc>
        <w:tc>
          <w:tcPr>
            <w:tcW w:w="1440" w:type="dxa"/>
            <w:vAlign w:val="bottom"/>
            <w:shd w:val="clear" w:color="auto" w:fill="DFE4EA"/>
          </w:tcPr>
          <w:p>
            <w:pPr>
              <w:spacing w:after="0"/>
              <w:rPr>
                <w:sz w:val="19"/>
                <w:szCs w:val="19"/>
                <w:color w:val="auto"/>
              </w:rPr>
            </w:pPr>
          </w:p>
        </w:tc>
        <w:tc>
          <w:tcPr>
            <w:tcW w:w="1140" w:type="dxa"/>
            <w:vAlign w:val="bottom"/>
            <w:shd w:val="clear" w:color="auto" w:fill="DFE4EA"/>
          </w:tcPr>
          <w:p>
            <w:pPr>
              <w:jc w:val="center"/>
              <w:ind w:left="23"/>
              <w:spacing w:after="0"/>
              <w:rPr>
                <w:sz w:val="20"/>
                <w:szCs w:val="20"/>
                <w:color w:val="auto"/>
              </w:rPr>
            </w:pPr>
            <w:r>
              <w:rPr>
                <w:rFonts w:ascii="Arial" w:cs="Arial" w:eastAsia="Arial" w:hAnsi="Arial"/>
                <w:sz w:val="15"/>
                <w:szCs w:val="15"/>
                <w:color w:val="auto"/>
                <w:w w:val="96"/>
              </w:rPr>
              <w:t>√</w:t>
            </w:r>
          </w:p>
        </w:tc>
        <w:tc>
          <w:tcPr>
            <w:tcW w:w="124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6"/>
              </w:rPr>
              <w:t>√</w:t>
            </w:r>
          </w:p>
        </w:tc>
      </w:tr>
      <w:tr>
        <w:trPr>
          <w:trHeight w:val="216"/>
        </w:trPr>
        <w:tc>
          <w:tcPr>
            <w:tcW w:w="4340" w:type="dxa"/>
            <w:vAlign w:val="bottom"/>
          </w:tcPr>
          <w:p>
            <w:pPr>
              <w:spacing w:after="0"/>
              <w:rPr>
                <w:sz w:val="20"/>
                <w:szCs w:val="20"/>
                <w:color w:val="auto"/>
              </w:rPr>
            </w:pPr>
            <w:r>
              <w:rPr>
                <w:rFonts w:ascii="Arial" w:cs="Arial" w:eastAsia="Arial" w:hAnsi="Arial"/>
                <w:sz w:val="15"/>
                <w:szCs w:val="15"/>
                <w:color w:val="auto"/>
              </w:rPr>
              <w:t>Jon W. Salveson</w:t>
            </w: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jc w:val="center"/>
              <w:ind w:left="23"/>
              <w:spacing w:after="0"/>
              <w:rPr>
                <w:sz w:val="20"/>
                <w:szCs w:val="20"/>
                <w:color w:val="auto"/>
              </w:rPr>
            </w:pPr>
            <w:r>
              <w:rPr>
                <w:rFonts w:ascii="Arial" w:cs="Arial" w:eastAsia="Arial" w:hAnsi="Arial"/>
                <w:sz w:val="15"/>
                <w:szCs w:val="15"/>
                <w:color w:val="auto"/>
                <w:w w:val="96"/>
              </w:rPr>
              <w:t>√</w:t>
            </w:r>
          </w:p>
        </w:tc>
        <w:tc>
          <w:tcPr>
            <w:tcW w:w="1240" w:type="dxa"/>
            <w:vAlign w:val="bottom"/>
          </w:tcPr>
          <w:p>
            <w:pPr>
              <w:jc w:val="center"/>
              <w:spacing w:after="0"/>
              <w:rPr>
                <w:sz w:val="20"/>
                <w:szCs w:val="20"/>
                <w:color w:val="auto"/>
              </w:rPr>
            </w:pPr>
            <w:r>
              <w:rPr>
                <w:rFonts w:ascii="Arial" w:cs="Arial" w:eastAsia="Arial" w:hAnsi="Arial"/>
                <w:sz w:val="15"/>
                <w:szCs w:val="15"/>
                <w:color w:val="auto"/>
                <w:w w:val="96"/>
              </w:rPr>
              <w:t>√</w:t>
            </w:r>
          </w:p>
        </w:tc>
      </w:tr>
      <w:tr>
        <w:trPr>
          <w:trHeight w:val="224"/>
        </w:trPr>
        <w:tc>
          <w:tcPr>
            <w:tcW w:w="4340" w:type="dxa"/>
            <w:vAlign w:val="bottom"/>
            <w:shd w:val="clear" w:color="auto" w:fill="DFE4EA"/>
          </w:tcPr>
          <w:p>
            <w:pPr>
              <w:spacing w:after="0"/>
              <w:rPr>
                <w:sz w:val="20"/>
                <w:szCs w:val="20"/>
                <w:color w:val="auto"/>
              </w:rPr>
            </w:pPr>
            <w:r>
              <w:rPr>
                <w:rFonts w:ascii="Arial" w:cs="Arial" w:eastAsia="Arial" w:hAnsi="Arial"/>
                <w:sz w:val="15"/>
                <w:szCs w:val="15"/>
                <w:color w:val="auto"/>
              </w:rPr>
              <w:t>Anthony B. Semedo</w:t>
            </w:r>
          </w:p>
        </w:tc>
        <w:tc>
          <w:tcPr>
            <w:tcW w:w="1200" w:type="dxa"/>
            <w:vAlign w:val="bottom"/>
            <w:shd w:val="clear" w:color="auto" w:fill="DFE4EA"/>
          </w:tcPr>
          <w:p>
            <w:pPr>
              <w:spacing w:after="0"/>
              <w:rPr>
                <w:sz w:val="19"/>
                <w:szCs w:val="19"/>
                <w:color w:val="auto"/>
              </w:rPr>
            </w:pPr>
          </w:p>
        </w:tc>
        <w:tc>
          <w:tcPr>
            <w:tcW w:w="144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6"/>
              </w:rPr>
              <w:t>√</w:t>
            </w:r>
          </w:p>
        </w:tc>
        <w:tc>
          <w:tcPr>
            <w:tcW w:w="1140" w:type="dxa"/>
            <w:vAlign w:val="bottom"/>
            <w:shd w:val="clear" w:color="auto" w:fill="DFE4EA"/>
          </w:tcPr>
          <w:p>
            <w:pPr>
              <w:spacing w:after="0"/>
              <w:rPr>
                <w:sz w:val="19"/>
                <w:szCs w:val="19"/>
                <w:color w:val="auto"/>
              </w:rPr>
            </w:pPr>
          </w:p>
        </w:tc>
        <w:tc>
          <w:tcPr>
            <w:tcW w:w="124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6"/>
              </w:rPr>
              <w:t>√</w:t>
            </w:r>
          </w:p>
        </w:tc>
      </w:tr>
    </w:tbl>
    <w:p>
      <w:pPr>
        <w:spacing w:after="0" w:line="136"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b w:val="1"/>
          <w:bCs w:val="1"/>
          <w:i w:val="1"/>
          <w:iCs w:val="1"/>
          <w:color w:val="auto"/>
        </w:rPr>
        <w:t xml:space="preserve">Audit Committee </w:t>
      </w:r>
      <w:r>
        <w:rPr>
          <w:rFonts w:ascii="Arial" w:cs="Arial" w:eastAsia="Arial" w:hAnsi="Arial"/>
          <w:sz w:val="15"/>
          <w:szCs w:val="15"/>
          <w:color w:val="auto"/>
        </w:rPr>
        <w:t>— The Audit Committee operates under a written charter that sets out the committee’s functions and responsibilities.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Audit Committee currently consists of three non-employee directors: Mr. Ackerman, Chair, Mr. Bevevino, and Mr. Burbank. Mr. Ackerman, Mr. Bevevino, and Mr. Burbank served on the Audit Committee for all of 2025. Each of the members of the Audit Committee meets the independence requirements of Section 303A.02 of the current NYSE Listing Standards and also meets the criteria of Section 303A.06, as set forth in Rule 10A-3 promulgated under the Exchange Act, regarding listing standards related to audit committees. No member of the Audit Committee serves on the audit committee of more than three public companies. In addition, the Board of Directors has determined that all of the current members of the Audit Committee satisfy the definition of an “audit committee financial expert,” as promulgated by the SEC.</w:t>
      </w:r>
    </w:p>
    <w:p>
      <w:pPr>
        <w:spacing w:after="0" w:line="128"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The Audit Committee charter gives the Audit Committee the authority and responsibility for the appointment, retention, compensation, and oversight of Artivion’s independent registered public accounting firm, including preapproval of all audit and non-audit services to be performed by Artivion’s independent registered public accounting firm. The Audit Committee also oversees, and must review and approve, all significant related-party transactions. See Policies and Procedures for Review, Approval, or Ratification of Transactions with Related Parties beginning on page 19; see also the Report of the Audit Committee on page 23.</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Audit Committee:</w:t>
      </w:r>
    </w:p>
    <w:p>
      <w:pPr>
        <w:spacing w:after="0" w:line="129" w:lineRule="exact"/>
        <w:rPr>
          <w:sz w:val="20"/>
          <w:szCs w:val="20"/>
          <w:color w:val="auto"/>
        </w:rPr>
      </w:pPr>
    </w:p>
    <w:p>
      <w:pPr>
        <w:ind w:left="660" w:hanging="325"/>
        <w:spacing w:after="0" w:line="285"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Reviews the general scope of Artivion’s annual audit and the nature of services to be performed for Artivion in connection with it, acting as liaison between the Board of Directors and the independent registered public accounting firm;</w:t>
      </w:r>
    </w:p>
    <w:p>
      <w:pPr>
        <w:spacing w:after="0" w:line="89"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Reviews various Company policies, including those relating to accounting practices and internal control and information security systems of Artivion;</w:t>
      </w:r>
    </w:p>
    <w:p>
      <w:pPr>
        <w:spacing w:after="0" w:line="89" w:lineRule="exact"/>
        <w:rPr>
          <w:rFonts w:ascii="Arial" w:cs="Arial" w:eastAsia="Arial" w:hAnsi="Arial"/>
          <w:sz w:val="15"/>
          <w:szCs w:val="15"/>
          <w:color w:val="auto"/>
        </w:rPr>
      </w:pPr>
    </w:p>
    <w:p>
      <w:pPr>
        <w:jc w:val="both"/>
        <w:ind w:left="660" w:hanging="325"/>
        <w:spacing w:after="0" w:line="263"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Reviews and monitors the performance of Artivion’s independent registered public accounting firm and is responsible for engaging or discharging Artivion’s independent registered public accounting firm and for assisting the Board of Directors in its oversight of risk management and legal and financial regulatory requirements; and</w:t>
      </w:r>
    </w:p>
    <w:p>
      <w:pPr>
        <w:spacing w:after="0" w:line="117"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Has the authority to, pursuant to its charter, delegate any of its decisions to a subcommittee of the Audit Committee consisting of two committee members or to the Chair alone, provided that a full report of any action taken is promptly made to the full Audit Committee.</w:t>
      </w:r>
    </w:p>
    <w:p>
      <w:pPr>
        <w:spacing w:after="0" w:line="89"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b w:val="1"/>
          <w:bCs w:val="1"/>
          <w:i w:val="1"/>
          <w:iCs w:val="1"/>
          <w:color w:val="auto"/>
        </w:rPr>
        <w:t xml:space="preserve">Compensation Committee </w:t>
      </w:r>
      <w:r>
        <w:rPr>
          <w:rFonts w:ascii="Arial" w:cs="Arial" w:eastAsia="Arial" w:hAnsi="Arial"/>
          <w:sz w:val="15"/>
          <w:szCs w:val="15"/>
          <w:color w:val="auto"/>
        </w:rPr>
        <w:t>— The Compensation Committee operates under a written charter that sets out the committee’s functions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responsibilities. The Compensation Committee currently consists of three non-employee directors: Mr. Bevevino, Chair, Mr. Bullock, and Mr. Semedo. Mr. Bevevino, Mr. Bullock, and Mr. Semedo served on the Compensation Committee for all of 2025. Each member of the Compensation Committee meets the independence requirements of Sections 303A.02(a)(i) and (ii) of the current NYSE Listing Standards and is a non-employee director within the meaning of Rule 16b-3 under the Exchange Act.</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18" w:name="page19"/>
    <w:bookmarkEnd w:id="18"/>
    <w:p>
      <w:pPr>
        <w:ind w:left="340"/>
        <w:spacing w:after="0"/>
        <w:rPr>
          <w:sz w:val="20"/>
          <w:szCs w:val="20"/>
          <w:color w:val="auto"/>
        </w:rPr>
      </w:pPr>
      <w:r>
        <w:rPr>
          <w:rFonts w:ascii="Arial" w:cs="Arial" w:eastAsia="Arial" w:hAnsi="Arial"/>
          <w:sz w:val="15"/>
          <w:szCs w:val="15"/>
          <w:color w:val="auto"/>
        </w:rPr>
        <w:t>The Compensation Committee:</w:t>
      </w:r>
    </w:p>
    <w:p>
      <w:pPr>
        <w:spacing w:after="0" w:line="117" w:lineRule="exact"/>
        <w:rPr>
          <w:sz w:val="20"/>
          <w:szCs w:val="20"/>
          <w:color w:val="auto"/>
        </w:rPr>
      </w:pPr>
    </w:p>
    <w:p>
      <w:pPr>
        <w:ind w:left="660" w:hanging="325"/>
        <w:spacing w:after="0" w:line="285"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Reviews the performance of executive officers, including the Chief Executive Officer (in conjunction with the Corporate Governance Committee), and approves annual executive officer compensation;</w:t>
      </w:r>
    </w:p>
    <w:p>
      <w:pPr>
        <w:spacing w:after="0" w:line="100"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Oversees the issuance of stock options, restricted stock awards, restricted stock units, performance stock units, and other stock rights and cash incentives under Artivion’s stock and incentive plans;</w:t>
      </w:r>
    </w:p>
    <w:p>
      <w:pPr>
        <w:spacing w:after="0" w:line="89" w:lineRule="exact"/>
        <w:rPr>
          <w:rFonts w:ascii="Arial" w:cs="Arial" w:eastAsia="Arial" w:hAnsi="Arial"/>
          <w:sz w:val="15"/>
          <w:szCs w:val="15"/>
          <w:color w:val="auto"/>
        </w:rPr>
      </w:pPr>
    </w:p>
    <w:p>
      <w:pPr>
        <w:ind w:left="660" w:hanging="325"/>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Approves, in conjunction with the Corporate Governance Committee and Board of Directors, separation packages for executive officers;</w:t>
      </w:r>
    </w:p>
    <w:p>
      <w:pPr>
        <w:spacing w:after="0" w:line="152"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Reviews, approves, and certifies the performance metrics upon which a portion of the compensation of Artivion’s Chief Executive Officer and other executive officers is based;</w:t>
      </w:r>
    </w:p>
    <w:p>
      <w:pPr>
        <w:spacing w:after="0" w:line="100" w:lineRule="exact"/>
        <w:rPr>
          <w:rFonts w:ascii="Arial" w:cs="Arial" w:eastAsia="Arial" w:hAnsi="Arial"/>
          <w:sz w:val="15"/>
          <w:szCs w:val="15"/>
          <w:color w:val="auto"/>
        </w:rPr>
      </w:pPr>
    </w:p>
    <w:p>
      <w:pPr>
        <w:jc w:val="both"/>
        <w:ind w:left="660" w:hanging="325"/>
        <w:spacing w:after="0" w:line="263"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Annually reviews, together with the Corporate Governance Committee, the Chief Executive Officer’s objectives and performance, recommends changes thereto, and together with the Corporate Governance Committee, sets the Chief Executive Officer’s compensation package; and</w:t>
      </w:r>
    </w:p>
    <w:p>
      <w:pPr>
        <w:spacing w:after="0" w:line="105" w:lineRule="exact"/>
        <w:rPr>
          <w:rFonts w:ascii="Arial" w:cs="Arial" w:eastAsia="Arial" w:hAnsi="Arial"/>
          <w:sz w:val="15"/>
          <w:szCs w:val="15"/>
          <w:color w:val="auto"/>
        </w:rPr>
      </w:pPr>
    </w:p>
    <w:p>
      <w:pPr>
        <w:ind w:left="660" w:hanging="325"/>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Oversees certain aspects of the Company’s sustainability risks, including human capital management.</w:t>
      </w:r>
    </w:p>
    <w:p>
      <w:pPr>
        <w:spacing w:after="0" w:line="152"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See Compensation Discussion and Analysis on page 26 for information concerning the Compensation Committee’s role, processes, and activities in overseeing executive compensation.</w:t>
      </w:r>
    </w:p>
    <w:p>
      <w:pPr>
        <w:spacing w:after="0" w:line="101" w:lineRule="exact"/>
        <w:rPr>
          <w:sz w:val="20"/>
          <w:szCs w:val="20"/>
          <w:color w:val="auto"/>
        </w:rPr>
      </w:pPr>
    </w:p>
    <w:p>
      <w:pPr>
        <w:jc w:val="both"/>
        <w:ind w:firstLine="334"/>
        <w:spacing w:after="0" w:line="271" w:lineRule="auto"/>
        <w:rPr>
          <w:sz w:val="20"/>
          <w:szCs w:val="20"/>
          <w:color w:val="auto"/>
        </w:rPr>
      </w:pPr>
      <w:r>
        <w:rPr>
          <w:rFonts w:ascii="Arial" w:cs="Arial" w:eastAsia="Arial" w:hAnsi="Arial"/>
          <w:sz w:val="15"/>
          <w:szCs w:val="15"/>
          <w:color w:val="auto"/>
        </w:rPr>
        <w:t>Pursuant to its charter, the Compensation Committee has the authority to delegate any of its decisions to a subcommittee of the Compensation Committee consisting of two committee members, provided that a full report of any action taken is promptly made to the full Compensation Committee.</w:t>
      </w:r>
    </w:p>
    <w:p>
      <w:pPr>
        <w:spacing w:after="0" w:line="283"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Compensation Committee has the power to retain, determine the terms of engagement and compensation of, and terminate any consultant that advises the Compensation Committee.</w:t>
      </w:r>
    </w:p>
    <w:p>
      <w:pPr>
        <w:spacing w:after="0" w:line="89"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b w:val="1"/>
          <w:bCs w:val="1"/>
          <w:i w:val="1"/>
          <w:iCs w:val="1"/>
          <w:color w:val="auto"/>
        </w:rPr>
        <w:t xml:space="preserve">Corporate Governance Committee </w:t>
      </w:r>
      <w:r>
        <w:rPr>
          <w:rFonts w:ascii="Arial" w:cs="Arial" w:eastAsia="Arial" w:hAnsi="Arial"/>
          <w:sz w:val="15"/>
          <w:szCs w:val="15"/>
          <w:color w:val="auto"/>
        </w:rPr>
        <w:t>— The Corporate Governance Committee operates under a written charter that sets out the committee’s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functions and responsibilities. The Corporate Governance Committee currently consists of four non-employee directors: Mr. Burbank, Chair, Ms. Borgstrom, Ms. Hoff, and Mr. Salveson. Mr. Burbank, Ms. Borgstrom, Ms. Hoff, and Mr. Salveson served on the Corporate Governance Committee for all of 2025. Each of these individuals meets the independence requirements of Section 303A.02 of the current NYSE Listing Standards.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Corporate Governance Committee:</w:t>
      </w:r>
    </w:p>
    <w:p>
      <w:pPr>
        <w:spacing w:after="0" w:line="117" w:lineRule="exact"/>
        <w:rPr>
          <w:sz w:val="20"/>
          <w:szCs w:val="20"/>
          <w:color w:val="auto"/>
        </w:rPr>
      </w:pPr>
    </w:p>
    <w:p>
      <w:pPr>
        <w:ind w:left="660" w:hanging="325"/>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Recommends potential candidates for the Board of Directors;</w:t>
      </w:r>
    </w:p>
    <w:p>
      <w:pPr>
        <w:spacing w:after="0" w:line="163" w:lineRule="exact"/>
        <w:rPr>
          <w:rFonts w:ascii="Arial" w:cs="Arial" w:eastAsia="Arial" w:hAnsi="Arial"/>
          <w:sz w:val="15"/>
          <w:szCs w:val="15"/>
          <w:color w:val="auto"/>
        </w:rPr>
      </w:pPr>
    </w:p>
    <w:p>
      <w:pPr>
        <w:ind w:left="660" w:hanging="325"/>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Oversees the annual self-evaluations of the Board of Directors, its committees, and individual directors;</w:t>
      </w:r>
    </w:p>
    <w:p>
      <w:pPr>
        <w:spacing w:after="0" w:line="152" w:lineRule="exact"/>
        <w:rPr>
          <w:rFonts w:ascii="Arial" w:cs="Arial" w:eastAsia="Arial" w:hAnsi="Arial"/>
          <w:sz w:val="15"/>
          <w:szCs w:val="15"/>
          <w:color w:val="auto"/>
        </w:rPr>
      </w:pPr>
    </w:p>
    <w:p>
      <w:pPr>
        <w:ind w:left="660" w:hanging="325"/>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Recommends to the Board of Directors individuals for appointment as executive officers;</w:t>
      </w:r>
    </w:p>
    <w:p>
      <w:pPr>
        <w:spacing w:after="0" w:line="152" w:lineRule="exact"/>
        <w:rPr>
          <w:rFonts w:ascii="Arial" w:cs="Arial" w:eastAsia="Arial" w:hAnsi="Arial"/>
          <w:sz w:val="15"/>
          <w:szCs w:val="15"/>
          <w:color w:val="auto"/>
        </w:rPr>
      </w:pPr>
    </w:p>
    <w:p>
      <w:pPr>
        <w:ind w:left="660" w:hanging="325"/>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Oversees succession planning for the Board of Directors and officers, including the Chief Executive Officer;</w:t>
      </w:r>
    </w:p>
    <w:p>
      <w:pPr>
        <w:spacing w:after="0" w:line="163"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Evaluates each year, together with the Compensation Committee, the performance of Artivion’s Chief Executive Officer and sets the Chief Executive Officer’s compensation;</w:t>
      </w:r>
    </w:p>
    <w:p>
      <w:pPr>
        <w:spacing w:after="0" w:line="89"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Recommends to the Board of Directors how the other committees of the Board of Directors should be structured, which directors should be members of those committees, and which director should chair those committees; and</w:t>
      </w:r>
    </w:p>
    <w:p>
      <w:pPr>
        <w:spacing w:after="0" w:line="89"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Reviews and makes recommendations to the Board of Directors regarding the development of, and compliance with, the Company’s corporate governance guidelines, sustainability risk-mitigation efforts, and other governance policies, procedures, and practices.</w:t>
      </w:r>
    </w:p>
    <w:p>
      <w:pPr>
        <w:spacing w:after="0" w:line="89"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b w:val="1"/>
          <w:bCs w:val="1"/>
          <w:i w:val="1"/>
          <w:iCs w:val="1"/>
          <w:color w:val="auto"/>
        </w:rPr>
        <w:t xml:space="preserve">Innovation and Healthcare Compliance Committee </w:t>
      </w:r>
      <w:r>
        <w:rPr>
          <w:rFonts w:ascii="Arial" w:cs="Arial" w:eastAsia="Arial" w:hAnsi="Arial"/>
          <w:sz w:val="15"/>
          <w:szCs w:val="15"/>
          <w:color w:val="auto"/>
        </w:rPr>
        <w:t>— The Innovation and Healthcare Compliance Committee operates under a written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charter that sets out the committee’s functions and responsibilities. The Innovation and Healthcare Compliance Committee currently consists of six non-employee directors: Ms. Borgstrom, Chair, Mr. Ackerman, Mr. Bullock, Ms. Hoff, Mr. Salveson, and Mr. Semedo. Mses. Borgstrom and Hoff and Messrs. Ackerman, Bullock, Salveson, and Semedo</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19" w:name="page20"/>
    <w:bookmarkEnd w:id="19"/>
    <w:p>
      <w:pPr>
        <w:jc w:val="both"/>
        <w:spacing w:after="0" w:line="263" w:lineRule="auto"/>
        <w:rPr>
          <w:sz w:val="20"/>
          <w:szCs w:val="20"/>
          <w:color w:val="auto"/>
        </w:rPr>
      </w:pPr>
      <w:r>
        <w:rPr>
          <w:rFonts w:ascii="Arial" w:cs="Arial" w:eastAsia="Arial" w:hAnsi="Arial"/>
          <w:sz w:val="15"/>
          <w:szCs w:val="15"/>
          <w:color w:val="auto"/>
        </w:rPr>
        <w:t>each served on the Innovation and Healthcare Compliance Committee for all of 2025. Each of these individuals meets the independence requirements of Section 303A.02 of the current NYSE Listing Standards. The charter of the Innovation and Healthcare Compliance Committee requires that a majority of its members be independent.</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Innovation and Healthcare Compliance Committee:</w:t>
      </w:r>
    </w:p>
    <w:p>
      <w:pPr>
        <w:spacing w:after="0" w:line="129" w:lineRule="exact"/>
        <w:rPr>
          <w:sz w:val="20"/>
          <w:szCs w:val="20"/>
          <w:color w:val="auto"/>
        </w:rPr>
      </w:pPr>
    </w:p>
    <w:p>
      <w:pPr>
        <w:ind w:left="660" w:hanging="325"/>
        <w:spacing w:after="0" w:line="285"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Assists the Board of Directors in the general oversight of the Company’s ongoing scientific and technological innovation activities and initiatives, including research and development (“R&amp;D”), clinical, regulatory, and intellectual property matters;</w:t>
      </w:r>
    </w:p>
    <w:p>
      <w:pPr>
        <w:spacing w:after="0" w:line="89"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Assists the Company in its oversight of Artivion’s compliance with healthcare laws and regulations, including regulations and laws related to regulatory affairs and quality assurance, and general healthcare compliance, such as the Anti-Kickback Statute;</w:t>
      </w:r>
    </w:p>
    <w:p>
      <w:pPr>
        <w:spacing w:after="0" w:line="89" w:lineRule="exact"/>
        <w:rPr>
          <w:rFonts w:ascii="Arial" w:cs="Arial" w:eastAsia="Arial" w:hAnsi="Arial"/>
          <w:sz w:val="15"/>
          <w:szCs w:val="15"/>
          <w:color w:val="auto"/>
        </w:rPr>
      </w:pPr>
    </w:p>
    <w:p>
      <w:pPr>
        <w:ind w:left="660" w:hanging="325"/>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Receives periodic reports from the Company’s senior management regarding quality and regulatory compliance;</w:t>
      </w:r>
    </w:p>
    <w:p>
      <w:pPr>
        <w:spacing w:after="0" w:line="163" w:lineRule="exact"/>
        <w:rPr>
          <w:rFonts w:ascii="Arial" w:cs="Arial" w:eastAsia="Arial" w:hAnsi="Arial"/>
          <w:sz w:val="15"/>
          <w:szCs w:val="15"/>
          <w:color w:val="auto"/>
        </w:rPr>
      </w:pPr>
    </w:p>
    <w:p>
      <w:pPr>
        <w:ind w:left="660" w:hanging="325"/>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Provides input into certain regulatory affairs, quality assurance, and healthcare compliance policies; and</w:t>
      </w:r>
    </w:p>
    <w:p>
      <w:pPr>
        <w:spacing w:after="0" w:line="152"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Assists, jointly with the Audit Committee, in the oversight of the Company’s enterprise risk assessment and compliance with certain policies and procedures, such as the Company’s Code of Conduct and policies with respect to GDPR and the FCPA.</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Procedures for Stockholders Who Wish to Submit Recommendations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3633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34"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Stockholders may recommend potential candidates for director to the Corporate Governance Committee, in which case the Committee will consider whether to recommend that the Board of Directors nominate such person for election as a director. Stockholders who wish to recommend a director candidate should submit the candidate’s name and background information in writing, as well as a written statement from the individual of his or her consent to be named as a candidate and, if nominated and elected, to serve as a director. Stockholders should submit this information by following the procedures set forth below at Communication with the Board of Directors and Its Committees on page 20.</w:t>
      </w:r>
    </w:p>
    <w:p>
      <w:pPr>
        <w:spacing w:after="0" w:line="112" w:lineRule="exact"/>
        <w:rPr>
          <w:sz w:val="20"/>
          <w:szCs w:val="20"/>
          <w:color w:val="auto"/>
        </w:rPr>
      </w:pPr>
    </w:p>
    <w:p>
      <w:pPr>
        <w:jc w:val="both"/>
        <w:ind w:firstLine="334"/>
        <w:spacing w:after="0" w:line="246" w:lineRule="auto"/>
        <w:rPr>
          <w:sz w:val="20"/>
          <w:szCs w:val="20"/>
          <w:color w:val="auto"/>
        </w:rPr>
      </w:pPr>
      <w:r>
        <w:rPr>
          <w:rFonts w:ascii="Arial" w:cs="Arial" w:eastAsia="Arial" w:hAnsi="Arial"/>
          <w:sz w:val="15"/>
          <w:szCs w:val="15"/>
          <w:color w:val="auto"/>
        </w:rPr>
        <w:t>The policy of the Corporate Governance Committee is to give the same consideration to nominees recommended by stockholders that it gives to individuals whose names are submitted by management or non-employee directors, including whether the recommended candidate meets our minimum qualifications for directors, possesses appropriate skills and qualities, and whether requesting additional information or an interview is appropriate. When reviewing a potential candidate, the Corporate Governance Committee considers, among other things, demonstrated character, judgment, relevant business, functional, and industry experience, degree of intellectual and business acumen, and the overall diversity of backgrounds and experiences of the Board of Directors. The Board of Directors and the Corporate Governance Committee believe it is important that the members of the Board of Directors represent a broad range of backgrounds and viewpoints. The Corporate Governance Committee’s process for identifying and evaluating nominees typically involves consideration of external candidates, including self-nominees, upon a vacancy or at a regularly scheduled meeting (generally, its meeting held in the first quarter of the year), and where appropriate, internal discussions, review of information concerning candidates, and interviews of selected candidates. From time to time, the Corporate Governance Committee has also engaged one or more executive search consulting firms to assist in the identification and recruitment of potential director candidates.</w:t>
      </w:r>
    </w:p>
    <w:p>
      <w:pPr>
        <w:spacing w:after="0" w:line="294"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current Board of Directors’ policy requires each director to offer to voluntarily resign upon a change in such director’s principal employment or line of business. The Corporate Governance Committee will then review whether such director continues to meet the needs of the Board of Directors and whether to make a recommendation to the Board of Directors that it should accept the director’s offer to resign.</w:t>
      </w:r>
    </w:p>
    <w:p>
      <w:pPr>
        <w:spacing w:after="0" w:line="117"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The current Board of Directors’ policy also limits the number of other public company boards on which Artivion directors may serve. Non-employee directors may serve on no more than three public company boards in addition to service on the Company’s Board of Directors, and the Chief Executive Officer’s service on the board of any other organization is restricted by his employment agreement with the Company and is subject to prior approval by the Board of Directors.</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9"/>
          <w:szCs w:val="19"/>
          <w:b w:val="1"/>
          <w:bCs w:val="1"/>
          <w:color w:val="2B4B74"/>
        </w:rPr>
        <w:t>Artivion’s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Artivion has established a Code of Conduct that clarifies the Company’s standards of conduct, including in potentially challenging situations; makes clear that Artivion expects all employees, executive officers, and non-employee directors to abide by applicable legal and regulatory requirements and to understand and appreciate the ethical considerations of their decisions; and reaffirms the Company’s long-standing commitment to a culture of corporate and individual accountability and responsibility for the highest ethical and business practices.</w:t>
      </w:r>
    </w:p>
    <w:p>
      <w:pPr>
        <w:spacing w:after="0" w:line="111"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In addition to the Code of Conduct, the Company’s Chief Executive Officer, Chief Financial Officer, Chief Accounting Officer, Treasurer, Controller, Assistant Controller, and all other senior financial officers are also subject to the Company’s Code of Ethics for Senior Financial Officers. In the event that Artivion amends or waives any of the provisions of the Code of Conduct or Code of Ethics for Senior Financial Officers applicable to its Chief Executive Officer, Chief Financial Officer, Chief Accounting Officer, Treasurer, Controller, or Assistant Controller, the Company will disclose such information on the Company’s website.</w:t>
      </w:r>
    </w:p>
    <w:p>
      <w:pPr>
        <w:spacing w:after="0" w:line="123"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Artivion’s Code of Conduct and Code of Ethics for Senior Financial Officers, which are reviewed periodically, are published on the Company’s website at https://investors.artivion.com/corporate-governance/artivion-code-conduct.</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47" w:lineRule="auto"/>
        <w:rPr>
          <w:sz w:val="20"/>
          <w:szCs w:val="20"/>
          <w:color w:val="auto"/>
        </w:rPr>
      </w:pPr>
      <w:r>
        <w:rPr>
          <w:rFonts w:ascii="Arial" w:cs="Arial" w:eastAsia="Arial" w:hAnsi="Arial"/>
          <w:sz w:val="15"/>
          <w:szCs w:val="15"/>
          <w:color w:val="auto"/>
        </w:rPr>
        <w:t>In the second quarter of 2026, Artivion expects to publish its updated annual Corporate Responsibility Report, which highlights the Company’s sustainability initiatives, goals, and efforts (“Sustainability Efforts”). The Corporate Responsibility Report details several of Artivion’s Sustainability Efforts, including, but not limited to: (1) environmental initiatives to drive sustainability and limit Artivion’s carbon footprint, including a disclosure relative to the Task Force on Climate-Related Financial Disclosures; (2) initiatives to create a welcoming and empowering workplace for every member of the global team as they strive to fulfill Artivion’s mission to make leading-edge aortic technologies available to patients around the world; and (3) Board of Directors level initiatives to enhance the breadth of backgrounds and experiences represented on the Board and throughout the workforce, Board refreshment, and Board or Board committee oversight of some of the Company’s sustainability initiatives, including human capital management. The annual Corporate Responsibility Report is available on the Company’s website at https://investors.artivion.com/‌corporate-responsibility-report-esg.</w:t>
      </w:r>
    </w:p>
    <w:p>
      <w:pPr>
        <w:spacing w:after="0" w:line="299" w:lineRule="exact"/>
        <w:rPr>
          <w:sz w:val="20"/>
          <w:szCs w:val="20"/>
          <w:color w:val="auto"/>
        </w:rPr>
      </w:pPr>
    </w:p>
    <w:p>
      <w:pPr>
        <w:ind w:right="2780"/>
        <w:spacing w:after="0" w:line="268" w:lineRule="auto"/>
        <w:rPr>
          <w:sz w:val="20"/>
          <w:szCs w:val="20"/>
          <w:color w:val="auto"/>
        </w:rPr>
      </w:pPr>
      <w:r>
        <w:rPr>
          <w:rFonts w:ascii="Arial" w:cs="Arial" w:eastAsia="Arial" w:hAnsi="Arial"/>
          <w:sz w:val="19"/>
          <w:szCs w:val="19"/>
          <w:b w:val="1"/>
          <w:bCs w:val="1"/>
          <w:color w:val="2B4B74"/>
        </w:rPr>
        <w:t>Policies and Procedures for Review, Approval, or Ratification of Transactions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63633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Board of Directors has adopted policies and procedures for review, approval, or ratification of transactions with related parties.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Types of Transactions Covered</w:t>
      </w:r>
    </w:p>
    <w:p>
      <w:pPr>
        <w:spacing w:after="0" w:line="122"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color w:val="auto"/>
        </w:rPr>
        <w:t>It is our policy to enter into or ratify related party transactions only when the Board of Directors, acting through the Audit Committee or as otherwise in line with the Company’s policies described herein, determines that the related party transaction in question is in, or is not inconsistent with, the best interests of Artivion and its stockholders. We follow the policies and procedures below for any transaction in which we are, or are to be, a participant and the annual amount involved exceeds $50,000 and in which any related party, as defined below, had, has, or will have a direct or indirect interest. Pursuant to the policy, additional Audit Committee approval is not required for compensatory arrangements with an executive officer or non-employee director that are approved or ratified by the Compensation Committee or compensation received under our employee benefit plans that are available to all employees.</w:t>
      </w:r>
    </w:p>
    <w:p>
      <w:pPr>
        <w:spacing w:after="0" w:line="116"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Company subjects the following related parties to these policies: non-employee directors (and nominees); executive officers; beneficial owners of more than 5% of our stock; any immediate family members of these persons; and any entity in which any of these persons is employed, or is a general partner or principal, or has a similar position, or in which the person has a 10% or greater beneficial ownership interest.</w:t>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Standards Applied and Persons Responsible for Approving Related Party Transactions</w:t>
      </w:r>
    </w:p>
    <w:p>
      <w:pPr>
        <w:spacing w:after="0" w:line="110"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5"/>
          <w:szCs w:val="15"/>
          <w:color w:val="auto"/>
        </w:rPr>
        <w:t>The Corporate Secretary is responsible for submitting to the Audit Committee for its advance review and approval any related party transaction, other than ongoing transactions, into which we propose to enter. If the Corporate Secretary determines that it is not practicable or desirable to wait until the next regularly scheduled Audit Committee meeting, the Corporate Secretary will submit the related party transaction for approval or ratification to the Chair of the Audit Committee, who possesses delegated authority to act between Audit Committee meetings. The Chair will report any action the Chair takes under this delegated authority to the Audit Committee at its next regularly scheduled meeting and seek ratification of such approval. If any related party transaction occurs before the Audit Committee has approved it, the Corporate Secretary will submit the transaction to the Audit Committee for ratification as soon as reasonably practicable. If the Audit Committee does not ratify the transaction, the Audit Committee will direct management as to what action it proposes management take regarding the transaction.</w:t>
      </w:r>
    </w:p>
    <w:p>
      <w:pPr>
        <w:spacing w:after="0" w:line="128"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When considering a related party transaction, the Audit Committee will examine all factors it deems relevant. The Audit Committee, or its Chair, will approve only those transactions that they have determined in good faith are in the best interests of Artivion and its stockholders.</w:t>
      </w:r>
    </w:p>
    <w:p>
      <w:pPr>
        <w:spacing w:after="0" w:line="89"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Corporate Secretary may delegate her duties under the policy to another officer of Artivion if the Corporate Secretary gives notice of the delegation to the Audit Committee at a regularly scheduled Audit Committee meeting.</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Review of Ongoing Transactions</w:t>
      </w:r>
    </w:p>
    <w:p>
      <w:pPr>
        <w:spacing w:after="0" w:line="122"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At least once per year, the Audit Committee reviews all related party transactions that are ongoing and have a remaining term of more than six months or remaining amounts payable to or receivable from Artivion of more than $50,000 annually. Based on all relevant facts and circumstances, the Audit Committee will determine whether it is in, or not inconsistent with, the best interests of Artivion and its stockholders to continue, modify, or terminate the ongoing related party transaction.</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3633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34"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None of our executive officers or employees have at any time, other than as noted herein and in the Policies and Procedures for Review, Approval, or Ratification of Transactions with Related Parties section above, had any relationship requiring disclosure by the Company. In addition, none of our executive officers currently serve, or served during fiscal 2025, as a member of the compensation committee of any other company that has or had an executive officer serving as a member of our Board of Directors. None of our executive officers currently serve, or served during fiscal 2025, as a member of the board of directors of any other company that has or had an executive officer serving as a member of our Compensation Committee.</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Communication with 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Interested parties may communicate with the Board of Directors, the Lead Director, the non-employee directors as a group, committee chairs, committees, and individual directors by directing communications to the Corporate Secretary, who will forward them as appropriate, unless they clearly constitute unsolicited general advertising or inappropriate material. Please send all communications in care of Jean F. Holloway, General Counsel and Corporate Secretary, Artivion, Inc., 1655 Roberts Boulevard, NW, Kennesaw, Georgia 30144.</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Availability of Corporate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You may view current copies of the charters of the Audit, Compensation, Corporate Governance, and Innovation and Healthcare Compliance Committees, as well as the Company’s Code of Conduct and Corporate Governance Guidelines, on Artivion’s website at https://investors.artivion.com/corporate-governance/governance-highlights.</w:t>
      </w:r>
    </w:p>
    <w:p>
      <w:pPr>
        <w:spacing w:after="0" w:line="106"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i w:val="1"/>
          <w:iCs w:val="1"/>
          <w:color w:val="auto"/>
        </w:rPr>
        <w:t>Notwithstanding anything to the contrary set forth in any of Artivion’s filings under the Securities Act of 1933, as amended (the “Securities Act”), or the Exchange Act that might incorporate other Artivion filings, including this Proxy Statement, in whole or in part, neither of the Reports of the Audit Committee and the Compensation Committee, set forth below, or any information contained on or accessible from our website or any other website shall be incorporated by reference into any such filings.</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2"/>
          <w:szCs w:val="22"/>
          <w:b w:val="1"/>
          <w:bCs w:val="1"/>
          <w:color w:val="2B4B74"/>
        </w:rPr>
        <w:t>DIRECTOR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Elements of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Grants</w:t>
      </w:r>
    </w:p>
    <w:p>
      <w:pPr>
        <w:spacing w:after="0" w:line="122" w:lineRule="exact"/>
        <w:rPr>
          <w:sz w:val="20"/>
          <w:szCs w:val="20"/>
          <w:color w:val="auto"/>
        </w:rPr>
      </w:pPr>
    </w:p>
    <w:p>
      <w:pPr>
        <w:jc w:val="both"/>
        <w:ind w:firstLine="334"/>
        <w:spacing w:after="0" w:line="245" w:lineRule="auto"/>
        <w:rPr>
          <w:sz w:val="20"/>
          <w:szCs w:val="20"/>
          <w:color w:val="auto"/>
        </w:rPr>
      </w:pPr>
      <w:r>
        <w:rPr>
          <w:rFonts w:ascii="Arial" w:cs="Arial" w:eastAsia="Arial" w:hAnsi="Arial"/>
          <w:sz w:val="15"/>
          <w:szCs w:val="15"/>
          <w:color w:val="auto"/>
        </w:rPr>
        <w:t>A portion of the non-employee directors’ annual compensation is issued as restricted stock. The shares of restricted stock are issued each year generally following the Annual Meeting of Stockholders. With respect to 2025 grants, the Compensation and Corporate Governance Committees recommended, and the Board of Directors approved, an increase in the grant date value of $150,000 to $180,000 per non-employee director, and in May 2025, the Company granted 6,325 shares of restricted stock to each of the non-employee directors serving at the time of grant, which will vest on May 22, 2026. The Compensation and Corporate Governance Committees recommended, and the Board of Directors approved, this increase upon the recommendation of the Compensation Committee’s independent compensation consultant, Willis Towers Watson</w:t>
      </w:r>
    </w:p>
    <w:p>
      <w:pPr>
        <w:spacing w:after="0" w:line="1" w:lineRule="exact"/>
        <w:rPr>
          <w:sz w:val="20"/>
          <w:szCs w:val="20"/>
          <w:color w:val="auto"/>
        </w:rPr>
      </w:pPr>
    </w:p>
    <w:p>
      <w:pPr>
        <w:jc w:val="both"/>
        <w:ind w:firstLine="1"/>
        <w:spacing w:after="0" w:line="248" w:lineRule="auto"/>
        <w:tabs>
          <w:tab w:leader="none" w:pos="1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 (“Willis Towers Watson”), and based on available benchmarking analysis provided by that consultant and other information provided by management. The amount and terms of the grants are subject to periodic reevaluation jointly by the Compensation and Corporate Governance Committees. All equity grants to non-employee directors in 2025 were made pursuant to the Amended and Restated Artivion, Inc. 2020 Equity and Cash Incentive Plan (the “2020 ECIP”). A non-employee director will forfeit any unvested portion of the award if he or she ceases to serve as a director, except under certain circumstances as described within the 2020 ECIP.</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of Directors’ Retainer and Committee Chair and Membership Fees</w:t>
      </w:r>
    </w:p>
    <w:p>
      <w:pPr>
        <w:spacing w:after="0" w:line="122"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Absent exceptional circumstances, every other year, the Compensation and Corporate Governance Committees each consider whether to adjust non-employee director compensation and recommend those adjustments, if any, to the Board of Directors.</w:t>
      </w:r>
    </w:p>
    <w:p>
      <w:pPr>
        <w:spacing w:after="0" w:line="89"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Each of the non-employee directors of Artivion receives an annual cash retainer for service on the Board of Directors, service on committees of the Board of Directors, service as Chair of a committee of the Board of Directors, and service as Lead Director, as applicable and as noted in the table below. Artivion pays all cash retainers on a prorated monthly basis.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2025 Board of Director Retainers</w:t>
      </w:r>
    </w:p>
    <w:p>
      <w:pPr>
        <w:spacing w:after="0" w:line="30" w:lineRule="exact"/>
        <w:rPr>
          <w:sz w:val="20"/>
          <w:szCs w:val="20"/>
          <w:color w:val="auto"/>
        </w:rPr>
      </w:pPr>
    </w:p>
    <w:tbl>
      <w:tblPr>
        <w:tblLayout w:type="fixed"/>
        <w:tblInd w:w="520" w:type="dxa"/>
        <w:tblCellMar>
          <w:top w:w="0" w:type="dxa"/>
          <w:left w:w="0" w:type="dxa"/>
          <w:bottom w:w="0" w:type="dxa"/>
          <w:right w:w="0" w:type="dxa"/>
        </w:tblCellMar>
      </w:tblPr>
      <w:tr>
        <w:trPr>
          <w:trHeight w:val="224"/>
        </w:trPr>
        <w:tc>
          <w:tcPr>
            <w:tcW w:w="3140" w:type="dxa"/>
            <w:vAlign w:val="bottom"/>
            <w:tcBorders>
              <w:top w:val="single" w:sz="8" w:color="auto"/>
            </w:tcBorders>
            <w:shd w:val="clear" w:color="auto" w:fill="DFE4EA"/>
          </w:tcPr>
          <w:p>
            <w:pPr>
              <w:spacing w:after="0"/>
              <w:rPr>
                <w:sz w:val="20"/>
                <w:szCs w:val="20"/>
                <w:color w:val="auto"/>
              </w:rPr>
            </w:pPr>
            <w:r>
              <w:rPr>
                <w:rFonts w:ascii="Arial" w:cs="Arial" w:eastAsia="Arial" w:hAnsi="Arial"/>
                <w:sz w:val="15"/>
                <w:szCs w:val="15"/>
                <w:color w:val="auto"/>
              </w:rPr>
              <w:t>Annual Board Service</w:t>
            </w:r>
          </w:p>
        </w:tc>
        <w:tc>
          <w:tcPr>
            <w:tcW w:w="3080" w:type="dxa"/>
            <w:vAlign w:val="bottom"/>
            <w:tcBorders>
              <w:top w:val="single" w:sz="8" w:color="auto"/>
            </w:tcBorders>
            <w:shd w:val="clear" w:color="auto" w:fill="DFE4EA"/>
          </w:tcPr>
          <w:p>
            <w:pPr>
              <w:jc w:val="right"/>
              <w:ind w:right="43"/>
              <w:spacing w:after="0"/>
              <w:rPr>
                <w:sz w:val="20"/>
                <w:szCs w:val="20"/>
                <w:color w:val="auto"/>
              </w:rPr>
            </w:pPr>
            <w:r>
              <w:rPr>
                <w:rFonts w:ascii="Arial" w:cs="Arial" w:eastAsia="Arial" w:hAnsi="Arial"/>
                <w:sz w:val="15"/>
                <w:szCs w:val="15"/>
                <w:color w:val="auto"/>
              </w:rPr>
              <w:t>$55,000</w:t>
            </w:r>
          </w:p>
        </w:tc>
        <w:tc>
          <w:tcPr>
            <w:tcW w:w="2760" w:type="dxa"/>
            <w:vAlign w:val="bottom"/>
            <w:tcBorders>
              <w:top w:val="single" w:sz="8" w:color="auto"/>
            </w:tcBorders>
            <w:shd w:val="clear" w:color="auto" w:fill="DFE4EA"/>
          </w:tcPr>
          <w:p>
            <w:pPr>
              <w:spacing w:after="0"/>
              <w:rPr>
                <w:sz w:val="19"/>
                <w:szCs w:val="19"/>
                <w:color w:val="auto"/>
              </w:rPr>
            </w:pPr>
          </w:p>
        </w:tc>
      </w:tr>
      <w:tr>
        <w:trPr>
          <w:trHeight w:val="244"/>
        </w:trPr>
        <w:tc>
          <w:tcPr>
            <w:tcW w:w="3140" w:type="dxa"/>
            <w:vAlign w:val="bottom"/>
          </w:tcPr>
          <w:p>
            <w:pPr>
              <w:spacing w:after="0" w:line="243" w:lineRule="exact"/>
              <w:rPr>
                <w:sz w:val="20"/>
                <w:szCs w:val="20"/>
                <w:color w:val="auto"/>
              </w:rPr>
            </w:pPr>
            <w:r>
              <w:rPr>
                <w:rFonts w:ascii="Arial" w:cs="Arial" w:eastAsia="Arial" w:hAnsi="Arial"/>
                <w:sz w:val="15"/>
                <w:szCs w:val="15"/>
                <w:color w:val="auto"/>
              </w:rPr>
              <w:t>Lead Director</w:t>
            </w:r>
            <w:r>
              <w:rPr>
                <w:rFonts w:ascii="Arial" w:cs="Arial" w:eastAsia="Arial" w:hAnsi="Arial"/>
                <w:sz w:val="24"/>
                <w:szCs w:val="24"/>
                <w:color w:val="auto"/>
                <w:vertAlign w:val="superscript"/>
              </w:rPr>
              <w:t>(1)</w:t>
            </w:r>
          </w:p>
        </w:tc>
        <w:tc>
          <w:tcPr>
            <w:tcW w:w="3080" w:type="dxa"/>
            <w:vAlign w:val="bottom"/>
          </w:tcPr>
          <w:p>
            <w:pPr>
              <w:jc w:val="right"/>
              <w:ind w:right="43"/>
              <w:spacing w:after="0"/>
              <w:rPr>
                <w:sz w:val="20"/>
                <w:szCs w:val="20"/>
                <w:color w:val="auto"/>
              </w:rPr>
            </w:pPr>
            <w:r>
              <w:rPr>
                <w:rFonts w:ascii="Arial" w:cs="Arial" w:eastAsia="Arial" w:hAnsi="Arial"/>
                <w:sz w:val="15"/>
                <w:szCs w:val="15"/>
                <w:color w:val="auto"/>
              </w:rPr>
              <w:t>$40,000</w:t>
            </w:r>
          </w:p>
        </w:tc>
        <w:tc>
          <w:tcPr>
            <w:tcW w:w="2760" w:type="dxa"/>
            <w:vAlign w:val="bottom"/>
          </w:tcPr>
          <w:p>
            <w:pPr>
              <w:spacing w:after="0"/>
              <w:rPr>
                <w:sz w:val="21"/>
                <w:szCs w:val="21"/>
                <w:color w:val="auto"/>
              </w:rPr>
            </w:pPr>
          </w:p>
        </w:tc>
      </w:tr>
      <w:tr>
        <w:trPr>
          <w:trHeight w:val="220"/>
        </w:trPr>
        <w:tc>
          <w:tcPr>
            <w:tcW w:w="3140" w:type="dxa"/>
            <w:vAlign w:val="bottom"/>
            <w:shd w:val="clear" w:color="auto" w:fill="DFE4EA"/>
          </w:tcPr>
          <w:p>
            <w:pPr>
              <w:spacing w:after="0"/>
              <w:rPr>
                <w:sz w:val="19"/>
                <w:szCs w:val="19"/>
                <w:color w:val="auto"/>
              </w:rPr>
            </w:pPr>
          </w:p>
        </w:tc>
        <w:tc>
          <w:tcPr>
            <w:tcW w:w="3080" w:type="dxa"/>
            <w:vAlign w:val="bottom"/>
            <w:shd w:val="clear" w:color="auto" w:fill="DFE4EA"/>
          </w:tcPr>
          <w:p>
            <w:pPr>
              <w:spacing w:after="0"/>
              <w:rPr>
                <w:sz w:val="19"/>
                <w:szCs w:val="19"/>
                <w:color w:val="auto"/>
              </w:rPr>
            </w:pPr>
          </w:p>
        </w:tc>
        <w:tc>
          <w:tcPr>
            <w:tcW w:w="2760" w:type="dxa"/>
            <w:vAlign w:val="bottom"/>
            <w:shd w:val="clear" w:color="auto" w:fill="DFE4EA"/>
          </w:tcPr>
          <w:p>
            <w:pPr>
              <w:spacing w:after="0"/>
              <w:rPr>
                <w:sz w:val="19"/>
                <w:szCs w:val="19"/>
                <w:color w:val="auto"/>
              </w:rPr>
            </w:pPr>
          </w:p>
        </w:tc>
      </w:tr>
      <w:tr>
        <w:trPr>
          <w:trHeight w:val="390"/>
        </w:trPr>
        <w:tc>
          <w:tcPr>
            <w:tcW w:w="3140" w:type="dxa"/>
            <w:vAlign w:val="bottom"/>
            <w:tcBorders>
              <w:bottom w:val="single" w:sz="8" w:color="auto"/>
            </w:tcBorders>
          </w:tcPr>
          <w:p>
            <w:pPr>
              <w:ind w:left="1200"/>
              <w:spacing w:after="0"/>
              <w:rPr>
                <w:sz w:val="20"/>
                <w:szCs w:val="20"/>
                <w:color w:val="auto"/>
              </w:rPr>
            </w:pPr>
            <w:r>
              <w:rPr>
                <w:rFonts w:ascii="Arial" w:cs="Arial" w:eastAsia="Arial" w:hAnsi="Arial"/>
                <w:sz w:val="15"/>
                <w:szCs w:val="15"/>
                <w:b w:val="1"/>
                <w:bCs w:val="1"/>
                <w:color w:val="auto"/>
              </w:rPr>
              <w:t>Committee</w:t>
            </w:r>
          </w:p>
        </w:tc>
        <w:tc>
          <w:tcPr>
            <w:tcW w:w="30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Committee Chair Retainer</w:t>
            </w:r>
            <w:r>
              <w:rPr>
                <w:rFonts w:ascii="Arial" w:cs="Arial" w:eastAsia="Arial" w:hAnsi="Arial"/>
                <w:sz w:val="24"/>
                <w:szCs w:val="24"/>
                <w:b w:val="1"/>
                <w:bCs w:val="1"/>
                <w:color w:val="auto"/>
                <w:vertAlign w:val="superscript"/>
              </w:rPr>
              <w:t>(2)</w:t>
            </w:r>
          </w:p>
        </w:tc>
        <w:tc>
          <w:tcPr>
            <w:tcW w:w="27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Committee Membership Retainer</w:t>
            </w:r>
          </w:p>
        </w:tc>
      </w:tr>
      <w:tr>
        <w:trPr>
          <w:trHeight w:val="228"/>
        </w:trPr>
        <w:tc>
          <w:tcPr>
            <w:tcW w:w="3140" w:type="dxa"/>
            <w:vAlign w:val="bottom"/>
            <w:shd w:val="clear" w:color="auto" w:fill="DFE4EA"/>
          </w:tcPr>
          <w:p>
            <w:pPr>
              <w:spacing w:after="0"/>
              <w:rPr>
                <w:sz w:val="20"/>
                <w:szCs w:val="20"/>
                <w:color w:val="auto"/>
              </w:rPr>
            </w:pPr>
            <w:r>
              <w:rPr>
                <w:rFonts w:ascii="Arial" w:cs="Arial" w:eastAsia="Arial" w:hAnsi="Arial"/>
                <w:sz w:val="15"/>
                <w:szCs w:val="15"/>
                <w:color w:val="auto"/>
              </w:rPr>
              <w:t>Audit</w:t>
            </w:r>
          </w:p>
        </w:tc>
        <w:tc>
          <w:tcPr>
            <w:tcW w:w="3080" w:type="dxa"/>
            <w:vAlign w:val="bottom"/>
            <w:shd w:val="clear" w:color="auto" w:fill="DFE4EA"/>
          </w:tcPr>
          <w:p>
            <w:pPr>
              <w:jc w:val="right"/>
              <w:ind w:right="43"/>
              <w:spacing w:after="0"/>
              <w:rPr>
                <w:sz w:val="20"/>
                <w:szCs w:val="20"/>
                <w:color w:val="auto"/>
              </w:rPr>
            </w:pPr>
            <w:r>
              <w:rPr>
                <w:rFonts w:ascii="Arial" w:cs="Arial" w:eastAsia="Arial" w:hAnsi="Arial"/>
                <w:sz w:val="15"/>
                <w:szCs w:val="15"/>
                <w:color w:val="auto"/>
              </w:rPr>
              <w:t>$20,000</w:t>
            </w:r>
          </w:p>
        </w:tc>
        <w:tc>
          <w:tcPr>
            <w:tcW w:w="2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$10,000</w:t>
            </w:r>
          </w:p>
        </w:tc>
      </w:tr>
      <w:tr>
        <w:trPr>
          <w:trHeight w:val="216"/>
        </w:trPr>
        <w:tc>
          <w:tcPr>
            <w:tcW w:w="3140" w:type="dxa"/>
            <w:vAlign w:val="bottom"/>
          </w:tcPr>
          <w:p>
            <w:pPr>
              <w:spacing w:after="0"/>
              <w:rPr>
                <w:sz w:val="20"/>
                <w:szCs w:val="20"/>
                <w:color w:val="auto"/>
              </w:rPr>
            </w:pPr>
            <w:r>
              <w:rPr>
                <w:rFonts w:ascii="Arial" w:cs="Arial" w:eastAsia="Arial" w:hAnsi="Arial"/>
                <w:sz w:val="15"/>
                <w:szCs w:val="15"/>
                <w:color w:val="auto"/>
              </w:rPr>
              <w:t>Compensation</w:t>
            </w:r>
          </w:p>
        </w:tc>
        <w:tc>
          <w:tcPr>
            <w:tcW w:w="3080" w:type="dxa"/>
            <w:vAlign w:val="bottom"/>
          </w:tcPr>
          <w:p>
            <w:pPr>
              <w:jc w:val="right"/>
              <w:ind w:right="43"/>
              <w:spacing w:after="0"/>
              <w:rPr>
                <w:sz w:val="20"/>
                <w:szCs w:val="20"/>
                <w:color w:val="auto"/>
              </w:rPr>
            </w:pPr>
            <w:r>
              <w:rPr>
                <w:rFonts w:ascii="Arial" w:cs="Arial" w:eastAsia="Arial" w:hAnsi="Arial"/>
                <w:sz w:val="15"/>
                <w:szCs w:val="15"/>
                <w:color w:val="auto"/>
              </w:rPr>
              <w:t>$20,000</w:t>
            </w:r>
          </w:p>
        </w:tc>
        <w:tc>
          <w:tcPr>
            <w:tcW w:w="276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224"/>
        </w:trPr>
        <w:tc>
          <w:tcPr>
            <w:tcW w:w="3140" w:type="dxa"/>
            <w:vAlign w:val="bottom"/>
            <w:shd w:val="clear" w:color="auto" w:fill="DFE4EA"/>
          </w:tcPr>
          <w:p>
            <w:pPr>
              <w:spacing w:after="0"/>
              <w:rPr>
                <w:sz w:val="20"/>
                <w:szCs w:val="20"/>
                <w:color w:val="auto"/>
              </w:rPr>
            </w:pPr>
            <w:r>
              <w:rPr>
                <w:rFonts w:ascii="Arial" w:cs="Arial" w:eastAsia="Arial" w:hAnsi="Arial"/>
                <w:sz w:val="15"/>
                <w:szCs w:val="15"/>
                <w:color w:val="auto"/>
              </w:rPr>
              <w:t>Corporate Governance</w:t>
            </w:r>
          </w:p>
        </w:tc>
        <w:tc>
          <w:tcPr>
            <w:tcW w:w="3080" w:type="dxa"/>
            <w:vAlign w:val="bottom"/>
            <w:shd w:val="clear" w:color="auto" w:fill="DFE4EA"/>
          </w:tcPr>
          <w:p>
            <w:pPr>
              <w:jc w:val="right"/>
              <w:ind w:right="43"/>
              <w:spacing w:after="0"/>
              <w:rPr>
                <w:sz w:val="20"/>
                <w:szCs w:val="20"/>
                <w:color w:val="auto"/>
              </w:rPr>
            </w:pPr>
            <w:r>
              <w:rPr>
                <w:rFonts w:ascii="Arial" w:cs="Arial" w:eastAsia="Arial" w:hAnsi="Arial"/>
                <w:sz w:val="15"/>
                <w:szCs w:val="15"/>
                <w:color w:val="auto"/>
              </w:rPr>
              <w:t>$10,000</w:t>
            </w:r>
          </w:p>
        </w:tc>
        <w:tc>
          <w:tcPr>
            <w:tcW w:w="27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$5,000</w:t>
            </w:r>
          </w:p>
        </w:tc>
      </w:tr>
      <w:tr>
        <w:trPr>
          <w:trHeight w:val="212"/>
        </w:trPr>
        <w:tc>
          <w:tcPr>
            <w:tcW w:w="3140" w:type="dxa"/>
            <w:vAlign w:val="bottom"/>
          </w:tcPr>
          <w:p>
            <w:pPr>
              <w:spacing w:after="0"/>
              <w:rPr>
                <w:sz w:val="20"/>
                <w:szCs w:val="20"/>
                <w:color w:val="auto"/>
              </w:rPr>
            </w:pPr>
            <w:r>
              <w:rPr>
                <w:rFonts w:ascii="Arial" w:cs="Arial" w:eastAsia="Arial" w:hAnsi="Arial"/>
                <w:sz w:val="15"/>
                <w:szCs w:val="15"/>
                <w:color w:val="auto"/>
              </w:rPr>
              <w:t>Innovation and Healthcare Compliance</w:t>
            </w:r>
          </w:p>
        </w:tc>
        <w:tc>
          <w:tcPr>
            <w:tcW w:w="3080" w:type="dxa"/>
            <w:vAlign w:val="bottom"/>
          </w:tcPr>
          <w:p>
            <w:pPr>
              <w:jc w:val="right"/>
              <w:ind w:right="43"/>
              <w:spacing w:after="0"/>
              <w:rPr>
                <w:sz w:val="20"/>
                <w:szCs w:val="20"/>
                <w:color w:val="auto"/>
              </w:rPr>
            </w:pPr>
            <w:r>
              <w:rPr>
                <w:rFonts w:ascii="Arial" w:cs="Arial" w:eastAsia="Arial" w:hAnsi="Arial"/>
                <w:sz w:val="15"/>
                <w:szCs w:val="15"/>
                <w:color w:val="auto"/>
              </w:rPr>
              <w:t>$10,000</w:t>
            </w:r>
          </w:p>
        </w:tc>
        <w:tc>
          <w:tcPr>
            <w:tcW w:w="2760" w:type="dxa"/>
            <w:vAlign w:val="bottom"/>
          </w:tcPr>
          <w:p>
            <w:pPr>
              <w:jc w:val="right"/>
              <w:spacing w:after="0"/>
              <w:rPr>
                <w:sz w:val="20"/>
                <w:szCs w:val="20"/>
                <w:color w:val="auto"/>
              </w:rPr>
            </w:pPr>
            <w:r>
              <w:rPr>
                <w:rFonts w:ascii="Arial" w:cs="Arial" w:eastAsia="Arial" w:hAnsi="Arial"/>
                <w:sz w:val="15"/>
                <w:szCs w:val="15"/>
                <w:color w:val="auto"/>
              </w:rPr>
              <w:t>$5,000</w:t>
            </w:r>
          </w:p>
        </w:tc>
      </w:tr>
    </w:tbl>
    <w:p>
      <w:pPr>
        <w:spacing w:after="0" w:line="89" w:lineRule="exact"/>
        <w:rPr>
          <w:sz w:val="20"/>
          <w:szCs w:val="20"/>
          <w:color w:val="auto"/>
        </w:rPr>
      </w:pPr>
    </w:p>
    <w:p>
      <w:pPr>
        <w:ind w:left="720" w:hanging="218"/>
        <w:spacing w:after="0"/>
        <w:tabs>
          <w:tab w:leader="none" w:pos="72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In addition to annual Board of Director service retainer.</w:t>
      </w:r>
    </w:p>
    <w:p>
      <w:pPr>
        <w:spacing w:after="0" w:line="78" w:lineRule="exact"/>
        <w:rPr>
          <w:rFonts w:ascii="Arial" w:cs="Arial" w:eastAsia="Arial" w:hAnsi="Arial"/>
          <w:sz w:val="22"/>
          <w:szCs w:val="22"/>
          <w:color w:val="auto"/>
          <w:vertAlign w:val="superscript"/>
        </w:rPr>
      </w:pPr>
    </w:p>
    <w:p>
      <w:pPr>
        <w:ind w:left="720" w:hanging="218"/>
        <w:spacing w:after="0" w:line="211" w:lineRule="auto"/>
        <w:tabs>
          <w:tab w:leader="none" w:pos="72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Includes committee membership retainer.</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9"/>
          <w:szCs w:val="19"/>
          <w:b w:val="1"/>
          <w:bCs w:val="1"/>
          <w:color w:val="2B4B74"/>
        </w:rPr>
        <w:t>Fiscal 2025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ind w:firstLine="334"/>
        <w:spacing w:after="0" w:line="285" w:lineRule="auto"/>
        <w:rPr>
          <w:sz w:val="20"/>
          <w:szCs w:val="20"/>
          <w:color w:val="auto"/>
        </w:rPr>
      </w:pPr>
      <w:r>
        <w:rPr>
          <w:rFonts w:ascii="Arial" w:cs="Arial" w:eastAsia="Arial" w:hAnsi="Arial"/>
          <w:sz w:val="15"/>
          <w:szCs w:val="15"/>
          <w:color w:val="auto"/>
        </w:rPr>
        <w:t>The following table provides compensation information for the one-year period ended December 31, 2025, for each person who was a member of our Board of Directors in 2025, other than J. Patrick Mackin.</w:t>
      </w:r>
    </w:p>
    <w:p>
      <w:pPr>
        <w:spacing w:after="0" w:line="109"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1820" w:type="dxa"/>
            <w:vAlign w:val="bottom"/>
          </w:tcPr>
          <w:p>
            <w:pPr>
              <w:spacing w:after="0"/>
              <w:rPr>
                <w:sz w:val="14"/>
                <w:szCs w:val="14"/>
                <w:color w:val="auto"/>
              </w:rPr>
            </w:pPr>
          </w:p>
        </w:tc>
        <w:tc>
          <w:tcPr>
            <w:tcW w:w="2020" w:type="dxa"/>
            <w:vAlign w:val="bottom"/>
          </w:tcPr>
          <w:p>
            <w:pPr>
              <w:jc w:val="center"/>
              <w:ind w:left="64"/>
              <w:spacing w:after="0"/>
              <w:rPr>
                <w:sz w:val="20"/>
                <w:szCs w:val="20"/>
                <w:color w:val="auto"/>
              </w:rPr>
            </w:pPr>
            <w:r>
              <w:rPr>
                <w:rFonts w:ascii="Arial" w:cs="Arial" w:eastAsia="Arial" w:hAnsi="Arial"/>
                <w:sz w:val="15"/>
                <w:szCs w:val="15"/>
                <w:b w:val="1"/>
                <w:bCs w:val="1"/>
                <w:color w:val="auto"/>
              </w:rPr>
              <w:t>Retainers Earned or</w:t>
            </w: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Annual Stock</w:t>
            </w:r>
          </w:p>
        </w:tc>
        <w:tc>
          <w:tcPr>
            <w:tcW w:w="960" w:type="dxa"/>
            <w:vAlign w:val="bottom"/>
          </w:tcPr>
          <w:p>
            <w:pPr>
              <w:spacing w:after="0"/>
              <w:rPr>
                <w:sz w:val="14"/>
                <w:szCs w:val="14"/>
                <w:color w:val="auto"/>
              </w:rPr>
            </w:pPr>
          </w:p>
        </w:tc>
      </w:tr>
      <w:tr>
        <w:trPr>
          <w:trHeight w:val="200"/>
        </w:trPr>
        <w:tc>
          <w:tcPr>
            <w:tcW w:w="1820" w:type="dxa"/>
            <w:vAlign w:val="bottom"/>
          </w:tcPr>
          <w:p>
            <w:pPr>
              <w:spacing w:after="0"/>
              <w:rPr>
                <w:sz w:val="17"/>
                <w:szCs w:val="17"/>
                <w:color w:val="auto"/>
              </w:rPr>
            </w:pPr>
          </w:p>
        </w:tc>
        <w:tc>
          <w:tcPr>
            <w:tcW w:w="2020" w:type="dxa"/>
            <w:vAlign w:val="bottom"/>
          </w:tcPr>
          <w:p>
            <w:pPr>
              <w:jc w:val="center"/>
              <w:ind w:left="64"/>
              <w:spacing w:after="0" w:line="200" w:lineRule="exact"/>
              <w:rPr>
                <w:sz w:val="20"/>
                <w:szCs w:val="20"/>
                <w:color w:val="auto"/>
              </w:rPr>
            </w:pPr>
            <w:r>
              <w:rPr>
                <w:rFonts w:ascii="Arial" w:cs="Arial" w:eastAsia="Arial" w:hAnsi="Arial"/>
                <w:sz w:val="15"/>
                <w:szCs w:val="15"/>
                <w:b w:val="1"/>
                <w:bCs w:val="1"/>
                <w:color w:val="auto"/>
                <w:w w:val="99"/>
              </w:rPr>
              <w:t>Paid in Cash</w:t>
            </w:r>
            <w:r>
              <w:rPr>
                <w:rFonts w:ascii="Arial" w:cs="Arial" w:eastAsia="Arial" w:hAnsi="Arial"/>
                <w:sz w:val="23"/>
                <w:szCs w:val="23"/>
                <w:b w:val="1"/>
                <w:bCs w:val="1"/>
                <w:color w:val="auto"/>
                <w:w w:val="99"/>
                <w:vertAlign w:val="superscript"/>
              </w:rPr>
              <w:t>(1)</w:t>
            </w:r>
          </w:p>
        </w:tc>
        <w:tc>
          <w:tcPr>
            <w:tcW w:w="1400" w:type="dxa"/>
            <w:vAlign w:val="bottom"/>
          </w:tcPr>
          <w:p>
            <w:pPr>
              <w:jc w:val="right"/>
              <w:ind w:right="284"/>
              <w:spacing w:after="0" w:line="200"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3"/>
                <w:szCs w:val="23"/>
                <w:b w:val="1"/>
                <w:bCs w:val="1"/>
                <w:color w:val="auto"/>
                <w:vertAlign w:val="superscript"/>
              </w:rPr>
              <w:t>(2)</w:t>
            </w:r>
          </w:p>
        </w:tc>
        <w:tc>
          <w:tcPr>
            <w:tcW w:w="960" w:type="dxa"/>
            <w:vAlign w:val="bottom"/>
          </w:tcPr>
          <w:p>
            <w:pPr>
              <w:ind w:left="260"/>
              <w:spacing w:after="0"/>
              <w:rPr>
                <w:sz w:val="20"/>
                <w:szCs w:val="20"/>
                <w:color w:val="auto"/>
              </w:rPr>
            </w:pPr>
            <w:r>
              <w:rPr>
                <w:rFonts w:ascii="Arial" w:cs="Arial" w:eastAsia="Arial" w:hAnsi="Arial"/>
                <w:sz w:val="15"/>
                <w:szCs w:val="15"/>
                <w:b w:val="1"/>
                <w:bCs w:val="1"/>
                <w:color w:val="auto"/>
              </w:rPr>
              <w:t>Total</w:t>
            </w:r>
          </w:p>
        </w:tc>
      </w:tr>
      <w:tr>
        <w:trPr>
          <w:trHeight w:val="206"/>
        </w:trPr>
        <w:tc>
          <w:tcPr>
            <w:tcW w:w="1820" w:type="dxa"/>
            <w:vAlign w:val="bottom"/>
            <w:tcBorders>
              <w:bottom w:val="single" w:sz="8" w:color="auto"/>
            </w:tcBorders>
          </w:tcPr>
          <w:p>
            <w:pPr>
              <w:ind w:left="740"/>
              <w:spacing w:after="0"/>
              <w:rPr>
                <w:sz w:val="20"/>
                <w:szCs w:val="20"/>
                <w:color w:val="auto"/>
              </w:rPr>
            </w:pPr>
            <w:r>
              <w:rPr>
                <w:rFonts w:ascii="Arial" w:cs="Arial" w:eastAsia="Arial" w:hAnsi="Arial"/>
                <w:sz w:val="15"/>
                <w:szCs w:val="15"/>
                <w:b w:val="1"/>
                <w:bCs w:val="1"/>
                <w:color w:val="auto"/>
              </w:rPr>
              <w:t>Name</w:t>
            </w:r>
          </w:p>
        </w:tc>
        <w:tc>
          <w:tcPr>
            <w:tcW w:w="2020" w:type="dxa"/>
            <w:vAlign w:val="bottom"/>
            <w:tcBorders>
              <w:bottom w:val="single" w:sz="8" w:color="auto"/>
            </w:tcBorders>
          </w:tcPr>
          <w:p>
            <w:pPr>
              <w:jc w:val="center"/>
              <w:ind w:left="64"/>
              <w:spacing w:after="0"/>
              <w:rPr>
                <w:sz w:val="20"/>
                <w:szCs w:val="20"/>
                <w:color w:val="auto"/>
              </w:rPr>
            </w:pPr>
            <w:r>
              <w:rPr>
                <w:rFonts w:ascii="Arial" w:cs="Arial" w:eastAsia="Arial" w:hAnsi="Arial"/>
                <w:sz w:val="15"/>
                <w:szCs w:val="15"/>
                <w:b w:val="1"/>
                <w:bCs w:val="1"/>
                <w:color w:val="auto"/>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w:t>
            </w:r>
          </w:p>
        </w:tc>
      </w:tr>
      <w:tr>
        <w:trPr>
          <w:trHeight w:val="189"/>
        </w:trPr>
        <w:tc>
          <w:tcPr>
            <w:tcW w:w="1820" w:type="dxa"/>
            <w:vAlign w:val="bottom"/>
            <w:tcBorders>
              <w:bottom w:val="single" w:sz="8" w:color="DFE4EA"/>
            </w:tcBorders>
            <w:shd w:val="clear" w:color="auto" w:fill="DFE4EA"/>
          </w:tcPr>
          <w:p>
            <w:pPr>
              <w:ind w:left="880"/>
              <w:spacing w:after="0"/>
              <w:rPr>
                <w:sz w:val="20"/>
                <w:szCs w:val="20"/>
                <w:color w:val="auto"/>
              </w:rPr>
            </w:pPr>
            <w:r>
              <w:rPr>
                <w:rFonts w:ascii="Arial" w:cs="Arial" w:eastAsia="Arial" w:hAnsi="Arial"/>
                <w:sz w:val="12"/>
                <w:szCs w:val="12"/>
                <w:color w:val="auto"/>
              </w:rPr>
              <w:t>(a)</w:t>
            </w:r>
          </w:p>
        </w:tc>
        <w:tc>
          <w:tcPr>
            <w:tcW w:w="2020" w:type="dxa"/>
            <w:vAlign w:val="bottom"/>
            <w:tcBorders>
              <w:bottom w:val="single" w:sz="8" w:color="DFE4EA"/>
            </w:tcBorders>
            <w:shd w:val="clear" w:color="auto" w:fill="DFE4EA"/>
          </w:tcPr>
          <w:p>
            <w:pPr>
              <w:jc w:val="center"/>
              <w:ind w:left="64"/>
              <w:spacing w:after="0"/>
              <w:rPr>
                <w:sz w:val="20"/>
                <w:szCs w:val="20"/>
                <w:color w:val="auto"/>
              </w:rPr>
            </w:pPr>
            <w:r>
              <w:rPr>
                <w:rFonts w:ascii="Arial" w:cs="Arial" w:eastAsia="Arial" w:hAnsi="Arial"/>
                <w:sz w:val="12"/>
                <w:szCs w:val="12"/>
                <w:color w:val="auto"/>
              </w:rPr>
              <w:t>(b)</w:t>
            </w:r>
          </w:p>
        </w:tc>
        <w:tc>
          <w:tcPr>
            <w:tcW w:w="1400" w:type="dxa"/>
            <w:vAlign w:val="bottom"/>
            <w:tcBorders>
              <w:bottom w:val="single" w:sz="8" w:color="DFE4EA"/>
            </w:tcBorders>
            <w:shd w:val="clear" w:color="auto" w:fill="DFE4EA"/>
          </w:tcPr>
          <w:p>
            <w:pPr>
              <w:jc w:val="center"/>
              <w:spacing w:after="0"/>
              <w:rPr>
                <w:sz w:val="20"/>
                <w:szCs w:val="20"/>
                <w:color w:val="auto"/>
              </w:rPr>
            </w:pPr>
            <w:r>
              <w:rPr>
                <w:rFonts w:ascii="Arial" w:cs="Arial" w:eastAsia="Arial" w:hAnsi="Arial"/>
                <w:sz w:val="12"/>
                <w:szCs w:val="12"/>
                <w:color w:val="auto"/>
                <w:w w:val="99"/>
              </w:rPr>
              <w:t>(c)</w:t>
            </w:r>
          </w:p>
        </w:tc>
        <w:tc>
          <w:tcPr>
            <w:tcW w:w="960" w:type="dxa"/>
            <w:vAlign w:val="bottom"/>
            <w:tcBorders>
              <w:bottom w:val="single" w:sz="8" w:color="DFE4EA"/>
            </w:tcBorders>
            <w:shd w:val="clear" w:color="auto" w:fill="DFE4EA"/>
          </w:tcPr>
          <w:p>
            <w:pPr>
              <w:ind w:left="360"/>
              <w:spacing w:after="0"/>
              <w:rPr>
                <w:sz w:val="20"/>
                <w:szCs w:val="20"/>
                <w:color w:val="auto"/>
              </w:rPr>
            </w:pPr>
            <w:r>
              <w:rPr>
                <w:rFonts w:ascii="Arial" w:cs="Arial" w:eastAsia="Arial" w:hAnsi="Arial"/>
                <w:sz w:val="12"/>
                <w:szCs w:val="12"/>
                <w:color w:val="auto"/>
              </w:rPr>
              <w:t>(d)</w:t>
            </w:r>
          </w:p>
        </w:tc>
      </w:tr>
      <w:tr>
        <w:trPr>
          <w:trHeight w:val="216"/>
        </w:trPr>
        <w:tc>
          <w:tcPr>
            <w:tcW w:w="1820" w:type="dxa"/>
            <w:vAlign w:val="bottom"/>
          </w:tcPr>
          <w:p>
            <w:pPr>
              <w:spacing w:after="0"/>
              <w:rPr>
                <w:sz w:val="20"/>
                <w:szCs w:val="20"/>
                <w:color w:val="auto"/>
              </w:rPr>
            </w:pPr>
            <w:r>
              <w:rPr>
                <w:rFonts w:ascii="Arial" w:cs="Arial" w:eastAsia="Arial" w:hAnsi="Arial"/>
                <w:sz w:val="15"/>
                <w:szCs w:val="15"/>
                <w:color w:val="auto"/>
              </w:rPr>
              <w:t>Thomas F. Ackerman</w:t>
            </w:r>
          </w:p>
        </w:tc>
        <w:tc>
          <w:tcPr>
            <w:tcW w:w="2020" w:type="dxa"/>
            <w:vAlign w:val="bottom"/>
          </w:tcPr>
          <w:p>
            <w:pPr>
              <w:jc w:val="right"/>
              <w:ind w:right="444"/>
              <w:spacing w:after="0"/>
              <w:rPr>
                <w:sz w:val="20"/>
                <w:szCs w:val="20"/>
                <w:color w:val="auto"/>
              </w:rPr>
            </w:pPr>
            <w:r>
              <w:rPr>
                <w:rFonts w:ascii="Arial" w:cs="Arial" w:eastAsia="Arial" w:hAnsi="Arial"/>
                <w:sz w:val="15"/>
                <w:szCs w:val="15"/>
                <w:color w:val="auto"/>
              </w:rPr>
              <w:t>80,000</w:t>
            </w:r>
          </w:p>
        </w:tc>
        <w:tc>
          <w:tcPr>
            <w:tcW w:w="1400" w:type="dxa"/>
            <w:vAlign w:val="bottom"/>
          </w:tcPr>
          <w:p>
            <w:pPr>
              <w:jc w:val="right"/>
              <w:ind w:right="284"/>
              <w:spacing w:after="0"/>
              <w:rPr>
                <w:sz w:val="20"/>
                <w:szCs w:val="20"/>
                <w:color w:val="auto"/>
              </w:rPr>
            </w:pPr>
            <w:r>
              <w:rPr>
                <w:rFonts w:ascii="Arial" w:cs="Arial" w:eastAsia="Arial" w:hAnsi="Arial"/>
                <w:sz w:val="15"/>
                <w:szCs w:val="15"/>
                <w:color w:val="auto"/>
              </w:rPr>
              <w:t>180,010</w:t>
            </w:r>
          </w:p>
        </w:tc>
        <w:tc>
          <w:tcPr>
            <w:tcW w:w="960" w:type="dxa"/>
            <w:vAlign w:val="bottom"/>
          </w:tcPr>
          <w:p>
            <w:pPr>
              <w:ind w:left="240"/>
              <w:spacing w:after="0"/>
              <w:rPr>
                <w:sz w:val="20"/>
                <w:szCs w:val="20"/>
                <w:color w:val="auto"/>
              </w:rPr>
            </w:pPr>
            <w:r>
              <w:rPr>
                <w:rFonts w:ascii="Arial" w:cs="Arial" w:eastAsia="Arial" w:hAnsi="Arial"/>
                <w:sz w:val="15"/>
                <w:szCs w:val="15"/>
                <w:color w:val="auto"/>
              </w:rPr>
              <w:t>260,010</w:t>
            </w:r>
          </w:p>
        </w:tc>
      </w:tr>
      <w:tr>
        <w:trPr>
          <w:trHeight w:val="224"/>
        </w:trPr>
        <w:tc>
          <w:tcPr>
            <w:tcW w:w="1820" w:type="dxa"/>
            <w:vAlign w:val="bottom"/>
            <w:shd w:val="clear" w:color="auto" w:fill="DFE4EA"/>
          </w:tcPr>
          <w:p>
            <w:pPr>
              <w:spacing w:after="0"/>
              <w:rPr>
                <w:sz w:val="20"/>
                <w:szCs w:val="20"/>
                <w:color w:val="auto"/>
              </w:rPr>
            </w:pPr>
            <w:r>
              <w:rPr>
                <w:rFonts w:ascii="Arial" w:cs="Arial" w:eastAsia="Arial" w:hAnsi="Arial"/>
                <w:sz w:val="15"/>
                <w:szCs w:val="15"/>
                <w:color w:val="auto"/>
              </w:rPr>
              <w:t>Daniel J. Bevevino</w:t>
            </w:r>
          </w:p>
        </w:tc>
        <w:tc>
          <w:tcPr>
            <w:tcW w:w="2020" w:type="dxa"/>
            <w:vAlign w:val="bottom"/>
            <w:shd w:val="clear" w:color="auto" w:fill="DFE4EA"/>
          </w:tcPr>
          <w:p>
            <w:pPr>
              <w:jc w:val="right"/>
              <w:ind w:right="444"/>
              <w:spacing w:after="0"/>
              <w:rPr>
                <w:sz w:val="20"/>
                <w:szCs w:val="20"/>
                <w:color w:val="auto"/>
              </w:rPr>
            </w:pPr>
            <w:r>
              <w:rPr>
                <w:rFonts w:ascii="Arial" w:cs="Arial" w:eastAsia="Arial" w:hAnsi="Arial"/>
                <w:sz w:val="15"/>
                <w:szCs w:val="15"/>
                <w:color w:val="auto"/>
              </w:rPr>
              <w:t>85,000</w:t>
            </w:r>
          </w:p>
        </w:tc>
        <w:tc>
          <w:tcPr>
            <w:tcW w:w="1400" w:type="dxa"/>
            <w:vAlign w:val="bottom"/>
            <w:shd w:val="clear" w:color="auto" w:fill="DFE4EA"/>
          </w:tcPr>
          <w:p>
            <w:pPr>
              <w:jc w:val="right"/>
              <w:ind w:right="284"/>
              <w:spacing w:after="0"/>
              <w:rPr>
                <w:sz w:val="20"/>
                <w:szCs w:val="20"/>
                <w:color w:val="auto"/>
              </w:rPr>
            </w:pPr>
            <w:r>
              <w:rPr>
                <w:rFonts w:ascii="Arial" w:cs="Arial" w:eastAsia="Arial" w:hAnsi="Arial"/>
                <w:sz w:val="15"/>
                <w:szCs w:val="15"/>
                <w:color w:val="auto"/>
              </w:rPr>
              <w:t>180,010</w:t>
            </w:r>
          </w:p>
        </w:tc>
        <w:tc>
          <w:tcPr>
            <w:tcW w:w="960" w:type="dxa"/>
            <w:vAlign w:val="bottom"/>
            <w:shd w:val="clear" w:color="auto" w:fill="DFE4EA"/>
          </w:tcPr>
          <w:p>
            <w:pPr>
              <w:ind w:left="240"/>
              <w:spacing w:after="0"/>
              <w:rPr>
                <w:sz w:val="20"/>
                <w:szCs w:val="20"/>
                <w:color w:val="auto"/>
              </w:rPr>
            </w:pPr>
            <w:r>
              <w:rPr>
                <w:rFonts w:ascii="Arial" w:cs="Arial" w:eastAsia="Arial" w:hAnsi="Arial"/>
                <w:sz w:val="15"/>
                <w:szCs w:val="15"/>
                <w:color w:val="auto"/>
              </w:rPr>
              <w:t>265,010</w:t>
            </w:r>
          </w:p>
        </w:tc>
      </w:tr>
      <w:tr>
        <w:trPr>
          <w:trHeight w:val="216"/>
        </w:trPr>
        <w:tc>
          <w:tcPr>
            <w:tcW w:w="1820" w:type="dxa"/>
            <w:vAlign w:val="bottom"/>
          </w:tcPr>
          <w:p>
            <w:pPr>
              <w:spacing w:after="0"/>
              <w:rPr>
                <w:sz w:val="20"/>
                <w:szCs w:val="20"/>
                <w:color w:val="auto"/>
              </w:rPr>
            </w:pPr>
            <w:r>
              <w:rPr>
                <w:rFonts w:ascii="Arial" w:cs="Arial" w:eastAsia="Arial" w:hAnsi="Arial"/>
                <w:sz w:val="15"/>
                <w:szCs w:val="15"/>
                <w:color w:val="auto"/>
              </w:rPr>
              <w:t>Marna P. Borgstrom</w:t>
            </w:r>
          </w:p>
        </w:tc>
        <w:tc>
          <w:tcPr>
            <w:tcW w:w="2020" w:type="dxa"/>
            <w:vAlign w:val="bottom"/>
          </w:tcPr>
          <w:p>
            <w:pPr>
              <w:jc w:val="right"/>
              <w:ind w:right="444"/>
              <w:spacing w:after="0"/>
              <w:rPr>
                <w:sz w:val="20"/>
                <w:szCs w:val="20"/>
                <w:color w:val="auto"/>
              </w:rPr>
            </w:pPr>
            <w:r>
              <w:rPr>
                <w:rFonts w:ascii="Arial" w:cs="Arial" w:eastAsia="Arial" w:hAnsi="Arial"/>
                <w:sz w:val="15"/>
                <w:szCs w:val="15"/>
                <w:color w:val="auto"/>
              </w:rPr>
              <w:t>70,000</w:t>
            </w:r>
          </w:p>
        </w:tc>
        <w:tc>
          <w:tcPr>
            <w:tcW w:w="1400" w:type="dxa"/>
            <w:vAlign w:val="bottom"/>
          </w:tcPr>
          <w:p>
            <w:pPr>
              <w:jc w:val="right"/>
              <w:ind w:right="284"/>
              <w:spacing w:after="0"/>
              <w:rPr>
                <w:sz w:val="20"/>
                <w:szCs w:val="20"/>
                <w:color w:val="auto"/>
              </w:rPr>
            </w:pPr>
            <w:r>
              <w:rPr>
                <w:rFonts w:ascii="Arial" w:cs="Arial" w:eastAsia="Arial" w:hAnsi="Arial"/>
                <w:sz w:val="15"/>
                <w:szCs w:val="15"/>
                <w:color w:val="auto"/>
              </w:rPr>
              <w:t>180,010</w:t>
            </w:r>
          </w:p>
        </w:tc>
        <w:tc>
          <w:tcPr>
            <w:tcW w:w="960" w:type="dxa"/>
            <w:vAlign w:val="bottom"/>
          </w:tcPr>
          <w:p>
            <w:pPr>
              <w:ind w:left="240"/>
              <w:spacing w:after="0"/>
              <w:rPr>
                <w:sz w:val="20"/>
                <w:szCs w:val="20"/>
                <w:color w:val="auto"/>
              </w:rPr>
            </w:pPr>
            <w:r>
              <w:rPr>
                <w:rFonts w:ascii="Arial" w:cs="Arial" w:eastAsia="Arial" w:hAnsi="Arial"/>
                <w:sz w:val="15"/>
                <w:szCs w:val="15"/>
                <w:color w:val="auto"/>
              </w:rPr>
              <w:t>250,010</w:t>
            </w:r>
          </w:p>
        </w:tc>
      </w:tr>
      <w:tr>
        <w:trPr>
          <w:trHeight w:val="224"/>
        </w:trPr>
        <w:tc>
          <w:tcPr>
            <w:tcW w:w="1820" w:type="dxa"/>
            <w:vAlign w:val="bottom"/>
            <w:shd w:val="clear" w:color="auto" w:fill="DFE4EA"/>
          </w:tcPr>
          <w:p>
            <w:pPr>
              <w:spacing w:after="0"/>
              <w:rPr>
                <w:sz w:val="20"/>
                <w:szCs w:val="20"/>
                <w:color w:val="auto"/>
              </w:rPr>
            </w:pPr>
            <w:r>
              <w:rPr>
                <w:rFonts w:ascii="Arial" w:cs="Arial" w:eastAsia="Arial" w:hAnsi="Arial"/>
                <w:sz w:val="15"/>
                <w:szCs w:val="15"/>
                <w:color w:val="auto"/>
              </w:rPr>
              <w:t>James W. Bullock</w:t>
            </w:r>
          </w:p>
        </w:tc>
        <w:tc>
          <w:tcPr>
            <w:tcW w:w="2020" w:type="dxa"/>
            <w:vAlign w:val="bottom"/>
            <w:shd w:val="clear" w:color="auto" w:fill="DFE4EA"/>
          </w:tcPr>
          <w:p>
            <w:pPr>
              <w:jc w:val="right"/>
              <w:ind w:right="444"/>
              <w:spacing w:after="0"/>
              <w:rPr>
                <w:sz w:val="20"/>
                <w:szCs w:val="20"/>
                <w:color w:val="auto"/>
              </w:rPr>
            </w:pPr>
            <w:r>
              <w:rPr>
                <w:rFonts w:ascii="Arial" w:cs="Arial" w:eastAsia="Arial" w:hAnsi="Arial"/>
                <w:sz w:val="15"/>
                <w:szCs w:val="15"/>
                <w:color w:val="auto"/>
              </w:rPr>
              <w:t>67,500</w:t>
            </w:r>
          </w:p>
        </w:tc>
        <w:tc>
          <w:tcPr>
            <w:tcW w:w="1400" w:type="dxa"/>
            <w:vAlign w:val="bottom"/>
            <w:shd w:val="clear" w:color="auto" w:fill="DFE4EA"/>
          </w:tcPr>
          <w:p>
            <w:pPr>
              <w:jc w:val="right"/>
              <w:ind w:right="284"/>
              <w:spacing w:after="0"/>
              <w:rPr>
                <w:sz w:val="20"/>
                <w:szCs w:val="20"/>
                <w:color w:val="auto"/>
              </w:rPr>
            </w:pPr>
            <w:r>
              <w:rPr>
                <w:rFonts w:ascii="Arial" w:cs="Arial" w:eastAsia="Arial" w:hAnsi="Arial"/>
                <w:sz w:val="15"/>
                <w:szCs w:val="15"/>
                <w:color w:val="auto"/>
              </w:rPr>
              <w:t>180,010</w:t>
            </w:r>
          </w:p>
        </w:tc>
        <w:tc>
          <w:tcPr>
            <w:tcW w:w="960" w:type="dxa"/>
            <w:vAlign w:val="bottom"/>
            <w:shd w:val="clear" w:color="auto" w:fill="DFE4EA"/>
          </w:tcPr>
          <w:p>
            <w:pPr>
              <w:ind w:left="240"/>
              <w:spacing w:after="0"/>
              <w:rPr>
                <w:sz w:val="20"/>
                <w:szCs w:val="20"/>
                <w:color w:val="auto"/>
              </w:rPr>
            </w:pPr>
            <w:r>
              <w:rPr>
                <w:rFonts w:ascii="Arial" w:cs="Arial" w:eastAsia="Arial" w:hAnsi="Arial"/>
                <w:sz w:val="15"/>
                <w:szCs w:val="15"/>
                <w:color w:val="auto"/>
              </w:rPr>
              <w:t>247,510</w:t>
            </w:r>
          </w:p>
        </w:tc>
      </w:tr>
      <w:tr>
        <w:trPr>
          <w:trHeight w:val="216"/>
        </w:trPr>
        <w:tc>
          <w:tcPr>
            <w:tcW w:w="1820" w:type="dxa"/>
            <w:vAlign w:val="bottom"/>
          </w:tcPr>
          <w:p>
            <w:pPr>
              <w:spacing w:after="0"/>
              <w:rPr>
                <w:sz w:val="20"/>
                <w:szCs w:val="20"/>
                <w:color w:val="auto"/>
              </w:rPr>
            </w:pPr>
            <w:r>
              <w:rPr>
                <w:rFonts w:ascii="Arial" w:cs="Arial" w:eastAsia="Arial" w:hAnsi="Arial"/>
                <w:sz w:val="15"/>
                <w:szCs w:val="15"/>
                <w:color w:val="auto"/>
              </w:rPr>
              <w:t>Jeffrey H. Burbank</w:t>
            </w:r>
          </w:p>
        </w:tc>
        <w:tc>
          <w:tcPr>
            <w:tcW w:w="2020" w:type="dxa"/>
            <w:vAlign w:val="bottom"/>
          </w:tcPr>
          <w:p>
            <w:pPr>
              <w:jc w:val="right"/>
              <w:ind w:right="444"/>
              <w:spacing w:after="0"/>
              <w:rPr>
                <w:sz w:val="20"/>
                <w:szCs w:val="20"/>
                <w:color w:val="auto"/>
              </w:rPr>
            </w:pPr>
            <w:r>
              <w:rPr>
                <w:rFonts w:ascii="Arial" w:cs="Arial" w:eastAsia="Arial" w:hAnsi="Arial"/>
                <w:sz w:val="15"/>
                <w:szCs w:val="15"/>
                <w:color w:val="auto"/>
              </w:rPr>
              <w:t>115,000</w:t>
            </w:r>
          </w:p>
        </w:tc>
        <w:tc>
          <w:tcPr>
            <w:tcW w:w="1400" w:type="dxa"/>
            <w:vAlign w:val="bottom"/>
          </w:tcPr>
          <w:p>
            <w:pPr>
              <w:jc w:val="right"/>
              <w:ind w:right="284"/>
              <w:spacing w:after="0"/>
              <w:rPr>
                <w:sz w:val="20"/>
                <w:szCs w:val="20"/>
                <w:color w:val="auto"/>
              </w:rPr>
            </w:pPr>
            <w:r>
              <w:rPr>
                <w:rFonts w:ascii="Arial" w:cs="Arial" w:eastAsia="Arial" w:hAnsi="Arial"/>
                <w:sz w:val="15"/>
                <w:szCs w:val="15"/>
                <w:color w:val="auto"/>
              </w:rPr>
              <w:t>180,010</w:t>
            </w:r>
          </w:p>
        </w:tc>
        <w:tc>
          <w:tcPr>
            <w:tcW w:w="960" w:type="dxa"/>
            <w:vAlign w:val="bottom"/>
          </w:tcPr>
          <w:p>
            <w:pPr>
              <w:ind w:left="240"/>
              <w:spacing w:after="0"/>
              <w:rPr>
                <w:sz w:val="20"/>
                <w:szCs w:val="20"/>
                <w:color w:val="auto"/>
              </w:rPr>
            </w:pPr>
            <w:r>
              <w:rPr>
                <w:rFonts w:ascii="Arial" w:cs="Arial" w:eastAsia="Arial" w:hAnsi="Arial"/>
                <w:sz w:val="15"/>
                <w:szCs w:val="15"/>
                <w:color w:val="auto"/>
              </w:rPr>
              <w:t>295,010</w:t>
            </w:r>
          </w:p>
        </w:tc>
      </w:tr>
      <w:tr>
        <w:trPr>
          <w:trHeight w:val="224"/>
        </w:trPr>
        <w:tc>
          <w:tcPr>
            <w:tcW w:w="1820" w:type="dxa"/>
            <w:vAlign w:val="bottom"/>
            <w:shd w:val="clear" w:color="auto" w:fill="DFE4EA"/>
          </w:tcPr>
          <w:p>
            <w:pPr>
              <w:spacing w:after="0"/>
              <w:rPr>
                <w:sz w:val="20"/>
                <w:szCs w:val="20"/>
                <w:color w:val="auto"/>
              </w:rPr>
            </w:pPr>
            <w:r>
              <w:rPr>
                <w:rFonts w:ascii="Arial" w:cs="Arial" w:eastAsia="Arial" w:hAnsi="Arial"/>
                <w:sz w:val="15"/>
                <w:szCs w:val="15"/>
                <w:color w:val="auto"/>
              </w:rPr>
              <w:t>Elizabeth A. Hoff</w:t>
            </w:r>
          </w:p>
        </w:tc>
        <w:tc>
          <w:tcPr>
            <w:tcW w:w="2020" w:type="dxa"/>
            <w:vAlign w:val="bottom"/>
            <w:shd w:val="clear" w:color="auto" w:fill="DFE4EA"/>
          </w:tcPr>
          <w:p>
            <w:pPr>
              <w:jc w:val="right"/>
              <w:ind w:right="444"/>
              <w:spacing w:after="0"/>
              <w:rPr>
                <w:sz w:val="20"/>
                <w:szCs w:val="20"/>
                <w:color w:val="auto"/>
              </w:rPr>
            </w:pPr>
            <w:r>
              <w:rPr>
                <w:rFonts w:ascii="Arial" w:cs="Arial" w:eastAsia="Arial" w:hAnsi="Arial"/>
                <w:sz w:val="15"/>
                <w:szCs w:val="15"/>
                <w:color w:val="auto"/>
              </w:rPr>
              <w:t>65,000</w:t>
            </w:r>
          </w:p>
        </w:tc>
        <w:tc>
          <w:tcPr>
            <w:tcW w:w="1400" w:type="dxa"/>
            <w:vAlign w:val="bottom"/>
            <w:shd w:val="clear" w:color="auto" w:fill="DFE4EA"/>
          </w:tcPr>
          <w:p>
            <w:pPr>
              <w:jc w:val="right"/>
              <w:ind w:right="284"/>
              <w:spacing w:after="0"/>
              <w:rPr>
                <w:sz w:val="20"/>
                <w:szCs w:val="20"/>
                <w:color w:val="auto"/>
              </w:rPr>
            </w:pPr>
            <w:r>
              <w:rPr>
                <w:rFonts w:ascii="Arial" w:cs="Arial" w:eastAsia="Arial" w:hAnsi="Arial"/>
                <w:sz w:val="15"/>
                <w:szCs w:val="15"/>
                <w:color w:val="auto"/>
              </w:rPr>
              <w:t>180,010</w:t>
            </w:r>
          </w:p>
        </w:tc>
        <w:tc>
          <w:tcPr>
            <w:tcW w:w="960" w:type="dxa"/>
            <w:vAlign w:val="bottom"/>
            <w:shd w:val="clear" w:color="auto" w:fill="DFE4EA"/>
          </w:tcPr>
          <w:p>
            <w:pPr>
              <w:ind w:left="240"/>
              <w:spacing w:after="0"/>
              <w:rPr>
                <w:sz w:val="20"/>
                <w:szCs w:val="20"/>
                <w:color w:val="auto"/>
              </w:rPr>
            </w:pPr>
            <w:r>
              <w:rPr>
                <w:rFonts w:ascii="Arial" w:cs="Arial" w:eastAsia="Arial" w:hAnsi="Arial"/>
                <w:sz w:val="15"/>
                <w:szCs w:val="15"/>
                <w:color w:val="auto"/>
              </w:rPr>
              <w:t>245,010</w:t>
            </w:r>
          </w:p>
        </w:tc>
      </w:tr>
      <w:tr>
        <w:trPr>
          <w:trHeight w:val="216"/>
        </w:trPr>
        <w:tc>
          <w:tcPr>
            <w:tcW w:w="1820" w:type="dxa"/>
            <w:vAlign w:val="bottom"/>
          </w:tcPr>
          <w:p>
            <w:pPr>
              <w:spacing w:after="0"/>
              <w:rPr>
                <w:sz w:val="20"/>
                <w:szCs w:val="20"/>
                <w:color w:val="auto"/>
              </w:rPr>
            </w:pPr>
            <w:r>
              <w:rPr>
                <w:rFonts w:ascii="Arial" w:cs="Arial" w:eastAsia="Arial" w:hAnsi="Arial"/>
                <w:sz w:val="15"/>
                <w:szCs w:val="15"/>
                <w:color w:val="auto"/>
              </w:rPr>
              <w:t>Jon W. Salveson</w:t>
            </w:r>
          </w:p>
        </w:tc>
        <w:tc>
          <w:tcPr>
            <w:tcW w:w="2020" w:type="dxa"/>
            <w:vAlign w:val="bottom"/>
          </w:tcPr>
          <w:p>
            <w:pPr>
              <w:jc w:val="right"/>
              <w:ind w:right="444"/>
              <w:spacing w:after="0"/>
              <w:rPr>
                <w:sz w:val="20"/>
                <w:szCs w:val="20"/>
                <w:color w:val="auto"/>
              </w:rPr>
            </w:pPr>
            <w:r>
              <w:rPr>
                <w:rFonts w:ascii="Arial" w:cs="Arial" w:eastAsia="Arial" w:hAnsi="Arial"/>
                <w:sz w:val="15"/>
                <w:szCs w:val="15"/>
                <w:color w:val="auto"/>
              </w:rPr>
              <w:t>65,000</w:t>
            </w:r>
          </w:p>
        </w:tc>
        <w:tc>
          <w:tcPr>
            <w:tcW w:w="1400" w:type="dxa"/>
            <w:vAlign w:val="bottom"/>
          </w:tcPr>
          <w:p>
            <w:pPr>
              <w:jc w:val="right"/>
              <w:ind w:right="284"/>
              <w:spacing w:after="0"/>
              <w:rPr>
                <w:sz w:val="20"/>
                <w:szCs w:val="20"/>
                <w:color w:val="auto"/>
              </w:rPr>
            </w:pPr>
            <w:r>
              <w:rPr>
                <w:rFonts w:ascii="Arial" w:cs="Arial" w:eastAsia="Arial" w:hAnsi="Arial"/>
                <w:sz w:val="15"/>
                <w:szCs w:val="15"/>
                <w:color w:val="auto"/>
              </w:rPr>
              <w:t>180,010</w:t>
            </w:r>
          </w:p>
        </w:tc>
        <w:tc>
          <w:tcPr>
            <w:tcW w:w="960" w:type="dxa"/>
            <w:vAlign w:val="bottom"/>
          </w:tcPr>
          <w:p>
            <w:pPr>
              <w:ind w:left="240"/>
              <w:spacing w:after="0"/>
              <w:rPr>
                <w:sz w:val="20"/>
                <w:szCs w:val="20"/>
                <w:color w:val="auto"/>
              </w:rPr>
            </w:pPr>
            <w:r>
              <w:rPr>
                <w:rFonts w:ascii="Arial" w:cs="Arial" w:eastAsia="Arial" w:hAnsi="Arial"/>
                <w:sz w:val="15"/>
                <w:szCs w:val="15"/>
                <w:color w:val="auto"/>
              </w:rPr>
              <w:t>245,010</w:t>
            </w:r>
          </w:p>
        </w:tc>
      </w:tr>
      <w:tr>
        <w:trPr>
          <w:trHeight w:val="224"/>
        </w:trPr>
        <w:tc>
          <w:tcPr>
            <w:tcW w:w="1820" w:type="dxa"/>
            <w:vAlign w:val="bottom"/>
            <w:shd w:val="clear" w:color="auto" w:fill="DFE4EA"/>
          </w:tcPr>
          <w:p>
            <w:pPr>
              <w:spacing w:after="0"/>
              <w:rPr>
                <w:sz w:val="20"/>
                <w:szCs w:val="20"/>
                <w:color w:val="auto"/>
              </w:rPr>
            </w:pPr>
            <w:r>
              <w:rPr>
                <w:rFonts w:ascii="Arial" w:cs="Arial" w:eastAsia="Arial" w:hAnsi="Arial"/>
                <w:sz w:val="15"/>
                <w:szCs w:val="15"/>
                <w:color w:val="auto"/>
              </w:rPr>
              <w:t>Anthony B. Semedo</w:t>
            </w:r>
          </w:p>
        </w:tc>
        <w:tc>
          <w:tcPr>
            <w:tcW w:w="2020" w:type="dxa"/>
            <w:vAlign w:val="bottom"/>
            <w:shd w:val="clear" w:color="auto" w:fill="DFE4EA"/>
          </w:tcPr>
          <w:p>
            <w:pPr>
              <w:jc w:val="right"/>
              <w:ind w:right="444"/>
              <w:spacing w:after="0"/>
              <w:rPr>
                <w:sz w:val="20"/>
                <w:szCs w:val="20"/>
                <w:color w:val="auto"/>
              </w:rPr>
            </w:pPr>
            <w:r>
              <w:rPr>
                <w:rFonts w:ascii="Arial" w:cs="Arial" w:eastAsia="Arial" w:hAnsi="Arial"/>
                <w:sz w:val="15"/>
                <w:szCs w:val="15"/>
                <w:color w:val="auto"/>
              </w:rPr>
              <w:t>67,500</w:t>
            </w:r>
          </w:p>
        </w:tc>
        <w:tc>
          <w:tcPr>
            <w:tcW w:w="1400" w:type="dxa"/>
            <w:vAlign w:val="bottom"/>
            <w:shd w:val="clear" w:color="auto" w:fill="DFE4EA"/>
          </w:tcPr>
          <w:p>
            <w:pPr>
              <w:jc w:val="right"/>
              <w:ind w:right="284"/>
              <w:spacing w:after="0"/>
              <w:rPr>
                <w:sz w:val="20"/>
                <w:szCs w:val="20"/>
                <w:color w:val="auto"/>
              </w:rPr>
            </w:pPr>
            <w:r>
              <w:rPr>
                <w:rFonts w:ascii="Arial" w:cs="Arial" w:eastAsia="Arial" w:hAnsi="Arial"/>
                <w:sz w:val="15"/>
                <w:szCs w:val="15"/>
                <w:color w:val="auto"/>
              </w:rPr>
              <w:t>180,010</w:t>
            </w:r>
          </w:p>
        </w:tc>
        <w:tc>
          <w:tcPr>
            <w:tcW w:w="960" w:type="dxa"/>
            <w:vAlign w:val="bottom"/>
            <w:shd w:val="clear" w:color="auto" w:fill="DFE4EA"/>
          </w:tcPr>
          <w:p>
            <w:pPr>
              <w:ind w:left="240"/>
              <w:spacing w:after="0"/>
              <w:rPr>
                <w:sz w:val="20"/>
                <w:szCs w:val="20"/>
                <w:color w:val="auto"/>
              </w:rPr>
            </w:pPr>
            <w:r>
              <w:rPr>
                <w:rFonts w:ascii="Arial" w:cs="Arial" w:eastAsia="Arial" w:hAnsi="Arial"/>
                <w:sz w:val="15"/>
                <w:szCs w:val="15"/>
                <w:color w:val="auto"/>
              </w:rPr>
              <w:t>247,510</w:t>
            </w:r>
          </w:p>
        </w:tc>
      </w:tr>
    </w:tbl>
    <w:p>
      <w:pPr>
        <w:spacing w:after="0" w:line="46" w:lineRule="exact"/>
        <w:rPr>
          <w:sz w:val="20"/>
          <w:szCs w:val="20"/>
          <w:color w:val="auto"/>
        </w:rPr>
      </w:pPr>
    </w:p>
    <w:p>
      <w:pPr>
        <w:jc w:val="both"/>
        <w:ind w:left="2140" w:right="1920" w:hanging="225"/>
        <w:spacing w:after="0" w:line="223" w:lineRule="auto"/>
        <w:tabs>
          <w:tab w:leader="none" w:pos="2140" w:val="left"/>
        </w:tabs>
        <w:numPr>
          <w:ilvl w:val="1"/>
          <w:numId w:val="19"/>
        </w:numPr>
        <w:rPr>
          <w:rFonts w:ascii="Arial" w:cs="Arial" w:eastAsia="Arial" w:hAnsi="Arial"/>
          <w:sz w:val="22"/>
          <w:szCs w:val="22"/>
          <w:color w:val="auto"/>
          <w:vertAlign w:val="superscript"/>
        </w:rPr>
      </w:pPr>
      <w:r>
        <w:rPr>
          <w:rFonts w:ascii="Arial" w:cs="Arial" w:eastAsia="Arial" w:hAnsi="Arial"/>
          <w:sz w:val="14"/>
          <w:szCs w:val="14"/>
          <w:color w:val="auto"/>
        </w:rPr>
        <w:t>Amounts shown include annual Board of Director service retainer, committee Chair and committee membership retainers, and, for Mr. Burbank, a Lead Director retainer, earned by our non-employee directors during 2025. Note that the Annual Stock Awards, which are generally made shortly after the Company’s Annual Meeting each year, cover the one-year service period ending on the day preceding the Company’s Annual Meeting the following year.</w:t>
      </w:r>
    </w:p>
    <w:p>
      <w:pPr>
        <w:spacing w:after="0" w:line="117" w:lineRule="exact"/>
        <w:rPr>
          <w:rFonts w:ascii="Arial" w:cs="Arial" w:eastAsia="Arial" w:hAnsi="Arial"/>
          <w:sz w:val="22"/>
          <w:szCs w:val="22"/>
          <w:color w:val="auto"/>
          <w:vertAlign w:val="superscript"/>
        </w:rPr>
      </w:pPr>
    </w:p>
    <w:p>
      <w:pPr>
        <w:jc w:val="both"/>
        <w:ind w:left="2140" w:right="1920" w:hanging="225"/>
        <w:spacing w:after="0" w:line="229" w:lineRule="auto"/>
        <w:tabs>
          <w:tab w:leader="none" w:pos="2140" w:val="left"/>
        </w:tabs>
        <w:numPr>
          <w:ilvl w:val="1"/>
          <w:numId w:val="19"/>
        </w:numPr>
        <w:rPr>
          <w:rFonts w:ascii="Arial" w:cs="Arial" w:eastAsia="Arial" w:hAnsi="Arial"/>
          <w:sz w:val="22"/>
          <w:szCs w:val="22"/>
          <w:color w:val="auto"/>
          <w:vertAlign w:val="superscript"/>
        </w:rPr>
      </w:pPr>
      <w:r>
        <w:rPr>
          <w:rFonts w:ascii="Arial" w:cs="Arial" w:eastAsia="Arial" w:hAnsi="Arial"/>
          <w:sz w:val="14"/>
          <w:szCs w:val="14"/>
          <w:color w:val="auto"/>
        </w:rPr>
        <w:t>Amounts shown represent the aggregate grant date fair value of the 6,325 restricted shares granted to each non-employee director, as calculated in accordance with FASB ASC Topic 718. We issued the awards on May 22, 2025, and we valued them at $28.46 per share, which was the closing price on the grant date. See Notes 1 and 14 of the Notes to Consolidated Financial Statements filed with Artivion’s Annual Report on Form 10-K for the year ended December 31, 2025 for assumptions used in valuing restricted stock awards. The restricted stock represented here vests on May 22, 2026; accordingly, these shares remained subject to vesting restrictions as of December 31, 2025.</w:t>
      </w:r>
    </w:p>
    <w:p>
      <w:pPr>
        <w:spacing w:after="0" w:line="165" w:lineRule="exact"/>
        <w:rPr>
          <w:rFonts w:ascii="Arial" w:cs="Arial" w:eastAsia="Arial" w:hAnsi="Arial"/>
          <w:sz w:val="22"/>
          <w:szCs w:val="22"/>
          <w:color w:val="auto"/>
          <w:vertAlign w:val="superscript"/>
        </w:rPr>
      </w:pPr>
    </w:p>
    <w:p>
      <w:pPr>
        <w:ind w:firstLine="335"/>
        <w:spacing w:after="0" w:line="285" w:lineRule="auto"/>
        <w:tabs>
          <w:tab w:leader="none" w:pos="51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Patrick Mackin, Chairman, President, and Chief Executive Officer received no compensation in 2025 for his services as a director of the Company. His compensation as an executive officer of the Company is detailed in the Summary Compensation Table on page 42.</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Director Stock Ownership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In November 2015, the Compensation and Corporate Governance Committees approved a change to the non-employee director stock ownership requirement to five times the then-current annual Board of Director service retainer for non-employee directors. The Board of Directors reevaluates this stock ownership requirement typically on a biennial basis and did so recently in November 2025, concluding at that time, based on information provided by Willis Towers Watson and management, that these requirements remained appropriate. All non-employee directors currently satisfy this standard.</w:t>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9"/>
          <w:szCs w:val="19"/>
          <w:b w:val="1"/>
          <w:bCs w:val="1"/>
          <w:color w:val="2B4B74"/>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The Board of Directors maintains an Audit Committee of three non-employee directors. The Board of Directors and the Audit Committee believe that the Audit Committee’s current member composition satisfies the rules of the NYSE that govern audit committee composition, including the requirement that each audit committee member be an “Independent Director” as that term is defined by Sections 303A.02 and 303A.06 of the NYSE Listing Standards and Rule 10A-3 promulgated under the Securities Exchange Act of 1934.</w:t>
      </w:r>
    </w:p>
    <w:p>
      <w:pPr>
        <w:spacing w:after="0" w:line="111" w:lineRule="exact"/>
        <w:rPr>
          <w:sz w:val="20"/>
          <w:szCs w:val="20"/>
          <w:color w:val="auto"/>
        </w:rPr>
      </w:pPr>
    </w:p>
    <w:p>
      <w:pPr>
        <w:jc w:val="both"/>
        <w:ind w:firstLine="334"/>
        <w:spacing w:after="0" w:line="247" w:lineRule="auto"/>
        <w:rPr>
          <w:sz w:val="20"/>
          <w:szCs w:val="20"/>
          <w:color w:val="auto"/>
        </w:rPr>
      </w:pPr>
      <w:r>
        <w:rPr>
          <w:rFonts w:ascii="Arial" w:cs="Arial" w:eastAsia="Arial" w:hAnsi="Arial"/>
          <w:sz w:val="15"/>
          <w:szCs w:val="15"/>
          <w:color w:val="auto"/>
        </w:rPr>
        <w:t>The Audit Committee oversees Artivion’s financial processes and the Company’s information security preparedness on behalf of the Board of Directors. Management has the primary responsibility for the financial statements and the reporting process, including the systems of internal controls. In fulfilling its oversight responsibilities, the Audit Committee reviewed the audited financial statements included in Artivion’s Annual Report on Form 10-K for fiscal 2025 and discussed them with management, including a discussion of the quality, not just the acceptability, of the accounting principles, the reasonableness of significant judgments, and the clarity of disclosures in the financial statements. The Board of Directors and the Audit Committee have adopted a written Audit Committee Charter. In the second quarter of 2025, Artivion hired a Vice President of Internal Audit to oversee an internal audit function that would, as of his hire date, provide internal audit services after a short transition period with the external internal audit service provider. The Vice President of Internal Audit reports directly to Artivion’s Chief Financial Officer, and the Audit Committee has direct oversight of the internal audit function.</w:t>
      </w:r>
    </w:p>
    <w:p>
      <w:pPr>
        <w:spacing w:after="0" w:line="131" w:lineRule="exact"/>
        <w:rPr>
          <w:sz w:val="20"/>
          <w:szCs w:val="20"/>
          <w:color w:val="auto"/>
        </w:rPr>
      </w:pPr>
    </w:p>
    <w:p>
      <w:pPr>
        <w:jc w:val="both"/>
        <w:ind w:firstLine="334"/>
        <w:spacing w:after="0" w:line="246" w:lineRule="auto"/>
        <w:rPr>
          <w:sz w:val="20"/>
          <w:szCs w:val="20"/>
          <w:color w:val="auto"/>
        </w:rPr>
      </w:pPr>
      <w:r>
        <w:rPr>
          <w:rFonts w:ascii="Arial" w:cs="Arial" w:eastAsia="Arial" w:hAnsi="Arial"/>
          <w:sz w:val="15"/>
          <w:szCs w:val="15"/>
          <w:color w:val="auto"/>
        </w:rPr>
        <w:t>During fiscal 2025, management completed the documentation, testing, and evaluation of Artivion’s system of internal controls over financial reporting and the associated information security preparedness in response to the requirements set forth in Section 404 of the Sarbanes-Oxley Act of 2002 and related regulations. The Audit Committee was kept informed of the progress of the evaluation and provided oversight and advice to management during the process. In connection with this oversight, the Audit Committee received periodic updates provided by management and Ernst &amp; Young LLP, Artivion’s independent registered public accounting firm since 2013, at each regularly scheduled Audit Committee meeting. The Audit Committee also reviewed the report of management on internal controls over financial reporting contained in Artivion’s Annual Report on Form 10-K for fiscal 2025, as well as Ernst &amp; Young LLP’s Reports of Independent Registered Public Accounting Firm included in Artivion’s Annual Report on Form 10-K for fiscal 2025 related to its audit of (i) Artivion’s consolidated financial statements and (ii) the effectiveness of Artivion’s internal controls over financial reporting. The Audit Committee continued to oversee Artivion’s efforts related to Artivion’s internal controls over financial reporting and management’s preparations for the evaluation thereof for fiscal 2025.</w:t>
      </w:r>
    </w:p>
    <w:p>
      <w:pPr>
        <w:spacing w:after="0" w:line="123"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color w:val="auto"/>
        </w:rPr>
        <w:t>The Audit Committee reviewed with Ernst &amp; Young LLP, who is responsible for expressing an opinion on the conformity of those audited financial statements with generally accepted accounting principles, their judgments as to the quality, not just the acceptability, of Artivion’s accounting principles and such other matters as are required to be discussed with the Audit Committee by the applicable requirements of the Public Company Accounting Oversight Board and the SEC. Ernst &amp; Young LLP also provided to the Audit Committee the written disclosures and the letter required by the applicable requirements of the Public Company Accounting Oversight Board regarding Ernst &amp; Young LLP’s communications with the Audit Committee concerning independence. The Audit Committee discussed with Ernst &amp; Young LLP and management its independence from management and Artivion.</w:t>
      </w:r>
    </w:p>
    <w:p>
      <w:pPr>
        <w:spacing w:after="0" w:line="116"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Audit Committee discussed with Ernst &amp; Young LLP the overall scope and plans for its audit. The Audit Committee met with Ernst &amp; Young LLP, with and without management present, to discuss the results of its examination, its evaluation of Artivion’s internal controls, and the overall quality of Artivion’s financial reporting.</w:t>
      </w:r>
    </w:p>
    <w:p>
      <w:pPr>
        <w:spacing w:after="0" w:line="117" w:lineRule="exact"/>
        <w:rPr>
          <w:sz w:val="20"/>
          <w:szCs w:val="20"/>
          <w:color w:val="auto"/>
        </w:rPr>
      </w:pPr>
    </w:p>
    <w:p>
      <w:pPr>
        <w:jc w:val="both"/>
        <w:ind w:firstLine="334"/>
        <w:spacing w:after="0" w:line="251" w:lineRule="auto"/>
        <w:rPr>
          <w:sz w:val="20"/>
          <w:szCs w:val="20"/>
          <w:color w:val="auto"/>
        </w:rPr>
      </w:pPr>
      <w:r>
        <w:rPr>
          <w:rFonts w:ascii="Arial" w:cs="Arial" w:eastAsia="Arial" w:hAnsi="Arial"/>
          <w:sz w:val="15"/>
          <w:szCs w:val="15"/>
          <w:color w:val="auto"/>
        </w:rPr>
        <w:t>In connection with its review of Artivion’s accounting and financial controls, the Audit Committee discusses with management on a quarterly basis the adequacy of Artivion’s information security preparedness and the types of information technology risks, controls, and procedures, and any related issues that could affect the adequacy of Artivion’s internal controls or general operations, including as they relate to information security. Assessments of Artivion’s information security program, including evaluations about its policies, procedures, infrastructure, access control, and change management, were performed by the independent external auditing firm Ernst &amp; Young LLP,and by Artivion’s internal audit and IT teams.</w:t>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25" w:name="page26"/>
    <w:bookmarkEnd w:id="25"/>
    <w:p>
      <w:pPr>
        <w:jc w:val="both"/>
        <w:ind w:firstLine="334"/>
        <w:spacing w:after="0" w:line="256" w:lineRule="auto"/>
        <w:rPr>
          <w:sz w:val="20"/>
          <w:szCs w:val="20"/>
          <w:color w:val="auto"/>
        </w:rPr>
      </w:pPr>
      <w:r>
        <w:rPr>
          <w:rFonts w:ascii="Arial" w:cs="Arial" w:eastAsia="Arial" w:hAnsi="Arial"/>
          <w:sz w:val="15"/>
          <w:szCs w:val="15"/>
          <w:color w:val="auto"/>
        </w:rPr>
        <w:t>In reliance on the reviews and discussions referred to above, the Audit Committee members did not become aware of any material misstatements in the audited financial statements and recommended to the Board of Directors that the audited financial statements be included in Artivion’s Annual Report on Form 10-K for the year ended December 31, 2025 for filing with the SEC. The Audit Committee has preliminarily approved Ernst &amp; Young LLP as Artivion’s independent registered public accounting firm for fiscal 2026.</w:t>
      </w:r>
    </w:p>
    <w:p>
      <w:pPr>
        <w:spacing w:after="0" w:line="109"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Audit Committee</w:t>
      </w:r>
    </w:p>
    <w:p>
      <w:pPr>
        <w:spacing w:after="0" w:line="17"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THOMAS F. ACKERMAN, CHAIR</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DANIEL J. BEVEVINO</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JEFFREY H. BURBANK</w:t>
      </w:r>
    </w:p>
    <w:p>
      <w:pPr>
        <w:spacing w:after="0" w:line="138"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i w:val="1"/>
          <w:iCs w:val="1"/>
          <w:color w:val="auto"/>
        </w:rPr>
        <w:t>The foregoing audit committee report is not “soliciting material,” is not deemed “filed” with the SEC, and shall not be deemed incorporated by reference by any general statement incorporating by reference this Proxy Statement into any filing of the Company under the Securities Act of 1933, as amended, or under the Exchange Act, except to the extent the Company specifically incorporates this report by reference.</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9"/>
          <w:szCs w:val="19"/>
          <w:b w:val="1"/>
          <w:bCs w:val="1"/>
          <w:color w:val="2B4B74"/>
        </w:rPr>
        <w:t>PROPOSAL TWO – ADVISORY VOTE ON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Artivion seeks a non-binding vote from its stockholders to approve the compensation paid to our Named Executive Officers as disclosed in this Proxy Statement pursuant to Item 402 of Regulation S-K, including the Compensation Discussion and Analysis, compensation tables, and narrative discussion. This vote is commonly referred to as a “Say on Pay” vote because it gives stockholders an opportunity to express their approval or disapproval of the Company’s executive officer pay practices.</w:t>
      </w:r>
    </w:p>
    <w:p>
      <w:pPr>
        <w:spacing w:after="0" w:line="111"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As discussed in detail in the Compensation Discussion and Analysis that follows, our executive officer compensation programs are designed to attract, retain, motivate, and reward executive officer talent that is able to, and appropriately incented to, deliver on Artivion’s short and long-term growth, on other strategic objectives, and on Artivion’s commitments to its stockholders, in particular, long-term value creation. We believe that the form and amount of compensation we provide to our current Named Executive Officers appropriately reflects their extensive management experience, continued high performance, and exceptional service to Artivion and our stockholders.</w:t>
      </w:r>
    </w:p>
    <w:p>
      <w:pPr>
        <w:spacing w:after="0" w:line="123"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We invite you to consider the details of our executive officer compensation program as disclosed more fully throughout this Proxy Statement. Regardless of the outcome of this “Say on Pay” vote, Artivion welcomes input from its stockholders regarding executive officer compensation and other matters generally related to the Company’s success. We believe in a corporate governance structure that is responsive to stockholder concerns. We view this vote as a meaningful opportunity to gauge stockholder approval of our executive officer compensation policies. Given the information provided in this Proxy Statement, the Board of Directors asks you to approve the following advisory resolution:</w:t>
      </w:r>
    </w:p>
    <w:p>
      <w:pPr>
        <w:spacing w:after="0" w:line="110"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b w:val="1"/>
          <w:bCs w:val="1"/>
          <w:color w:val="auto"/>
        </w:rPr>
        <w:t>“Resolved, that Artivion’s stockholders approve, on an advisory basis, the compensation paid to Artivion’s Named Executive Officers, as disclosed in this Proxy Statement.”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Required Vote</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votes cast for this proposal must constitute a majority of shares present, either in person or by proxy, and entitled to vote on this proposal in order for it to be approved. Accordingly, abstentions will have the same effect as an “Against” vote and broker non-votes will have no effect. As previously disclosed and approved by the stockholders, the Board of Directors currently submits a Say on Pay proposal annually. The annual frequency of this disclosure and approval was the subject of a vote of the stockholders at the Company’s 2025 Annual Meeting and was supported by more than 97% of stockholders who voted.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Board of Directors’ Recommendation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BOARD OF DIRECTORS RECOMMENDS THAT YOU VOTE “FOR”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APPROVAL OF THE COMPENSATION PAID TO ARTIVION’S NAMED EXECUTIVE OFFICERS.</w:t>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9"/>
          <w:szCs w:val="19"/>
          <w:b w:val="1"/>
          <w:bCs w:val="1"/>
          <w:color w:val="2B4B7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This Compensation Discussion and Analysis describes the principles, objectives, and features of our executive compensation program as applied to our Chief Executive Officer and the other named executive officers included in the Summary Compensation Table of this Proxy Statement (collectively, our “Named Executive Officers” or “NEOs”). For 2025, our NEOs were: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00" w:type="dxa"/>
            <w:vAlign w:val="bottom"/>
            <w:tcBorders>
              <w:bottom w:val="single" w:sz="8" w:color="DFE4EA"/>
            </w:tcBorders>
            <w:shd w:val="clear" w:color="auto" w:fill="DFE4EA"/>
          </w:tcPr>
          <w:p>
            <w:pPr>
              <w:ind w:left="400"/>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FE4EA"/>
            </w:tcBorders>
            <w:shd w:val="clear" w:color="auto" w:fill="DFE4EA"/>
          </w:tcPr>
          <w:p>
            <w:pPr>
              <w:ind w:left="40"/>
              <w:spacing w:after="0"/>
              <w:rPr>
                <w:sz w:val="20"/>
                <w:szCs w:val="20"/>
                <w:color w:val="auto"/>
              </w:rPr>
            </w:pPr>
            <w:r>
              <w:rPr>
                <w:rFonts w:ascii="Arial" w:cs="Arial" w:eastAsia="Arial" w:hAnsi="Arial"/>
                <w:sz w:val="15"/>
                <w:szCs w:val="15"/>
                <w:color w:val="auto"/>
              </w:rPr>
              <w:t>J. Patrick Mackin</w:t>
            </w:r>
          </w:p>
        </w:tc>
        <w:tc>
          <w:tcPr>
            <w:tcW w:w="7880" w:type="dxa"/>
            <w:vAlign w:val="bottom"/>
            <w:tcBorders>
              <w:bottom w:val="single" w:sz="8" w:color="DFE4EA"/>
            </w:tcBorders>
            <w:shd w:val="clear" w:color="auto" w:fill="DFE4EA"/>
          </w:tcPr>
          <w:p>
            <w:pPr>
              <w:ind w:left="240"/>
              <w:spacing w:after="0"/>
              <w:rPr>
                <w:sz w:val="20"/>
                <w:szCs w:val="20"/>
                <w:color w:val="auto"/>
              </w:rPr>
            </w:pPr>
            <w:r>
              <w:rPr>
                <w:rFonts w:ascii="Arial" w:cs="Arial" w:eastAsia="Arial" w:hAnsi="Arial"/>
                <w:sz w:val="15"/>
                <w:szCs w:val="15"/>
                <w:color w:val="auto"/>
              </w:rPr>
              <w:t>President, Chief Executive Officer, and Chairman of the Board of Directors</w:t>
            </w:r>
          </w:p>
        </w:tc>
      </w:tr>
      <w:tr>
        <w:trPr>
          <w:trHeight w:val="212"/>
        </w:trPr>
        <w:tc>
          <w:tcPr>
            <w:tcW w:w="500" w:type="dxa"/>
            <w:vAlign w:val="bottom"/>
          </w:tcPr>
          <w:p>
            <w:pPr>
              <w:ind w:left="400"/>
              <w:spacing w:after="0"/>
              <w:rPr>
                <w:sz w:val="20"/>
                <w:szCs w:val="20"/>
                <w:color w:val="auto"/>
              </w:rPr>
            </w:pPr>
            <w:r>
              <w:rPr>
                <w:rFonts w:ascii="Arial" w:cs="Arial" w:eastAsia="Arial" w:hAnsi="Arial"/>
                <w:sz w:val="15"/>
                <w:szCs w:val="15"/>
                <w:color w:val="auto"/>
              </w:rPr>
              <w:t>•</w:t>
            </w:r>
          </w:p>
        </w:tc>
        <w:tc>
          <w:tcPr>
            <w:tcW w:w="1620" w:type="dxa"/>
            <w:vAlign w:val="bottom"/>
          </w:tcPr>
          <w:p>
            <w:pPr>
              <w:ind w:left="40"/>
              <w:spacing w:after="0"/>
              <w:rPr>
                <w:sz w:val="20"/>
                <w:szCs w:val="20"/>
                <w:color w:val="auto"/>
              </w:rPr>
            </w:pPr>
            <w:r>
              <w:rPr>
                <w:rFonts w:ascii="Arial" w:cs="Arial" w:eastAsia="Arial" w:hAnsi="Arial"/>
                <w:sz w:val="15"/>
                <w:szCs w:val="15"/>
                <w:color w:val="auto"/>
              </w:rPr>
              <w:t>Lance A. Berry</w:t>
            </w:r>
          </w:p>
        </w:tc>
        <w:tc>
          <w:tcPr>
            <w:tcW w:w="7880" w:type="dxa"/>
            <w:vAlign w:val="bottom"/>
          </w:tcPr>
          <w:p>
            <w:pPr>
              <w:ind w:left="240"/>
              <w:spacing w:after="0"/>
              <w:rPr>
                <w:sz w:val="20"/>
                <w:szCs w:val="20"/>
                <w:color w:val="auto"/>
              </w:rPr>
            </w:pPr>
            <w:r>
              <w:rPr>
                <w:rFonts w:ascii="Arial" w:cs="Arial" w:eastAsia="Arial" w:hAnsi="Arial"/>
                <w:sz w:val="15"/>
                <w:szCs w:val="15"/>
                <w:color w:val="auto"/>
              </w:rPr>
              <w:t>Executive Vice President, Chief Operating Officer, Chief Financial Officer, and Treasurer</w:t>
            </w:r>
          </w:p>
        </w:tc>
      </w:tr>
      <w:tr>
        <w:trPr>
          <w:trHeight w:val="54"/>
        </w:trPr>
        <w:tc>
          <w:tcPr>
            <w:tcW w:w="5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880" w:type="dxa"/>
            <w:vAlign w:val="bottom"/>
          </w:tcPr>
          <w:p>
            <w:pPr>
              <w:spacing w:after="0"/>
              <w:rPr>
                <w:sz w:val="4"/>
                <w:szCs w:val="4"/>
                <w:color w:val="auto"/>
              </w:rPr>
            </w:pPr>
          </w:p>
        </w:tc>
      </w:tr>
      <w:tr>
        <w:trPr>
          <w:trHeight w:val="247"/>
        </w:trPr>
        <w:tc>
          <w:tcPr>
            <w:tcW w:w="500" w:type="dxa"/>
            <w:vAlign w:val="bottom"/>
            <w:tcBorders>
              <w:bottom w:val="single" w:sz="8" w:color="DFE4EA"/>
            </w:tcBorders>
            <w:shd w:val="clear" w:color="auto" w:fill="DFE4EA"/>
          </w:tcPr>
          <w:p>
            <w:pPr>
              <w:ind w:left="400"/>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FE4EA"/>
            </w:tcBorders>
            <w:shd w:val="clear" w:color="auto" w:fill="DFE4EA"/>
          </w:tcPr>
          <w:p>
            <w:pPr>
              <w:ind w:left="40"/>
              <w:spacing w:after="0"/>
              <w:rPr>
                <w:sz w:val="20"/>
                <w:szCs w:val="20"/>
                <w:color w:val="auto"/>
              </w:rPr>
            </w:pPr>
            <w:r>
              <w:rPr>
                <w:rFonts w:ascii="Arial" w:cs="Arial" w:eastAsia="Arial" w:hAnsi="Arial"/>
                <w:sz w:val="15"/>
                <w:szCs w:val="15"/>
                <w:color w:val="auto"/>
              </w:rPr>
              <w:t>Jean F. Holloway</w:t>
            </w:r>
          </w:p>
        </w:tc>
        <w:tc>
          <w:tcPr>
            <w:tcW w:w="7880" w:type="dxa"/>
            <w:vAlign w:val="bottom"/>
            <w:tcBorders>
              <w:bottom w:val="single" w:sz="8" w:color="DFE4EA"/>
            </w:tcBorders>
            <w:shd w:val="clear" w:color="auto" w:fill="DFE4EA"/>
          </w:tcPr>
          <w:p>
            <w:pPr>
              <w:ind w:left="240"/>
              <w:spacing w:after="0"/>
              <w:rPr>
                <w:sz w:val="20"/>
                <w:szCs w:val="20"/>
                <w:color w:val="auto"/>
              </w:rPr>
            </w:pPr>
            <w:r>
              <w:rPr>
                <w:rFonts w:ascii="Arial" w:cs="Arial" w:eastAsia="Arial" w:hAnsi="Arial"/>
                <w:sz w:val="15"/>
                <w:szCs w:val="15"/>
                <w:color w:val="auto"/>
              </w:rPr>
              <w:t>Senior Vice President, General Counsel, Chief Compliance Officer, and Corporate Secretary</w:t>
            </w:r>
          </w:p>
        </w:tc>
      </w:tr>
      <w:tr>
        <w:trPr>
          <w:trHeight w:val="212"/>
        </w:trPr>
        <w:tc>
          <w:tcPr>
            <w:tcW w:w="500" w:type="dxa"/>
            <w:vAlign w:val="bottom"/>
          </w:tcPr>
          <w:p>
            <w:pPr>
              <w:ind w:left="400"/>
              <w:spacing w:after="0"/>
              <w:rPr>
                <w:sz w:val="20"/>
                <w:szCs w:val="20"/>
                <w:color w:val="auto"/>
              </w:rPr>
            </w:pPr>
            <w:r>
              <w:rPr>
                <w:rFonts w:ascii="Arial" w:cs="Arial" w:eastAsia="Arial" w:hAnsi="Arial"/>
                <w:sz w:val="15"/>
                <w:szCs w:val="15"/>
                <w:color w:val="auto"/>
              </w:rPr>
              <w:t>•</w:t>
            </w:r>
          </w:p>
        </w:tc>
        <w:tc>
          <w:tcPr>
            <w:tcW w:w="1620" w:type="dxa"/>
            <w:vAlign w:val="bottom"/>
          </w:tcPr>
          <w:p>
            <w:pPr>
              <w:ind w:left="40"/>
              <w:spacing w:after="0"/>
              <w:rPr>
                <w:sz w:val="20"/>
                <w:szCs w:val="20"/>
                <w:color w:val="auto"/>
              </w:rPr>
            </w:pPr>
            <w:r>
              <w:rPr>
                <w:rFonts w:ascii="Arial" w:cs="Arial" w:eastAsia="Arial" w:hAnsi="Arial"/>
                <w:sz w:val="15"/>
                <w:szCs w:val="15"/>
                <w:color w:val="auto"/>
              </w:rPr>
              <w:t>John E. Davis</w:t>
            </w:r>
          </w:p>
        </w:tc>
        <w:tc>
          <w:tcPr>
            <w:tcW w:w="7880" w:type="dxa"/>
            <w:vAlign w:val="bottom"/>
          </w:tcPr>
          <w:p>
            <w:pPr>
              <w:ind w:left="240"/>
              <w:spacing w:after="0"/>
              <w:rPr>
                <w:sz w:val="20"/>
                <w:szCs w:val="20"/>
                <w:color w:val="auto"/>
              </w:rPr>
            </w:pPr>
            <w:r>
              <w:rPr>
                <w:rFonts w:ascii="Arial" w:cs="Arial" w:eastAsia="Arial" w:hAnsi="Arial"/>
                <w:sz w:val="15"/>
                <w:szCs w:val="15"/>
                <w:color w:val="auto"/>
              </w:rPr>
              <w:t>Senior Vice President, Chief Commercial Officer</w:t>
            </w:r>
          </w:p>
        </w:tc>
      </w:tr>
      <w:tr>
        <w:trPr>
          <w:trHeight w:val="54"/>
        </w:trPr>
        <w:tc>
          <w:tcPr>
            <w:tcW w:w="5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880" w:type="dxa"/>
            <w:vAlign w:val="bottom"/>
          </w:tcPr>
          <w:p>
            <w:pPr>
              <w:spacing w:after="0"/>
              <w:rPr>
                <w:sz w:val="4"/>
                <w:szCs w:val="4"/>
                <w:color w:val="auto"/>
              </w:rPr>
            </w:pPr>
          </w:p>
        </w:tc>
      </w:tr>
      <w:tr>
        <w:trPr>
          <w:trHeight w:val="212"/>
        </w:trPr>
        <w:tc>
          <w:tcPr>
            <w:tcW w:w="500" w:type="dxa"/>
            <w:vAlign w:val="bottom"/>
            <w:shd w:val="clear" w:color="auto" w:fill="DFE4EA"/>
          </w:tcPr>
          <w:p>
            <w:pPr>
              <w:ind w:left="400"/>
              <w:spacing w:after="0"/>
              <w:rPr>
                <w:sz w:val="20"/>
                <w:szCs w:val="20"/>
                <w:color w:val="auto"/>
              </w:rPr>
            </w:pPr>
            <w:r>
              <w:rPr>
                <w:rFonts w:ascii="Arial" w:cs="Arial" w:eastAsia="Arial" w:hAnsi="Arial"/>
                <w:sz w:val="15"/>
                <w:szCs w:val="15"/>
                <w:color w:val="auto"/>
              </w:rPr>
              <w:t>•</w:t>
            </w:r>
          </w:p>
        </w:tc>
        <w:tc>
          <w:tcPr>
            <w:tcW w:w="1620" w:type="dxa"/>
            <w:vAlign w:val="bottom"/>
            <w:shd w:val="clear" w:color="auto" w:fill="DFE4EA"/>
          </w:tcPr>
          <w:p>
            <w:pPr>
              <w:ind w:left="40"/>
              <w:spacing w:after="0"/>
              <w:rPr>
                <w:sz w:val="20"/>
                <w:szCs w:val="20"/>
                <w:color w:val="auto"/>
              </w:rPr>
            </w:pPr>
            <w:r>
              <w:rPr>
                <w:rFonts w:ascii="Arial" w:cs="Arial" w:eastAsia="Arial" w:hAnsi="Arial"/>
                <w:sz w:val="15"/>
                <w:szCs w:val="15"/>
                <w:color w:val="auto"/>
              </w:rPr>
              <w:t>Marshall S. Stanton</w:t>
            </w:r>
          </w:p>
        </w:tc>
        <w:tc>
          <w:tcPr>
            <w:tcW w:w="7880" w:type="dxa"/>
            <w:vAlign w:val="bottom"/>
            <w:shd w:val="clear" w:color="auto" w:fill="DFE4EA"/>
          </w:tcPr>
          <w:p>
            <w:pPr>
              <w:ind w:left="240"/>
              <w:spacing w:after="0"/>
              <w:rPr>
                <w:sz w:val="20"/>
                <w:szCs w:val="20"/>
                <w:color w:val="auto"/>
              </w:rPr>
            </w:pPr>
            <w:r>
              <w:rPr>
                <w:rFonts w:ascii="Arial" w:cs="Arial" w:eastAsia="Arial" w:hAnsi="Arial"/>
                <w:sz w:val="15"/>
                <w:szCs w:val="15"/>
                <w:color w:val="auto"/>
              </w:rPr>
              <w:t>Senior Vice President, Clinical Research and Chief Medical Officer</w:t>
            </w:r>
          </w:p>
        </w:tc>
      </w:tr>
      <w:tr>
        <w:trPr>
          <w:trHeight w:val="54"/>
        </w:trPr>
        <w:tc>
          <w:tcPr>
            <w:tcW w:w="500" w:type="dxa"/>
            <w:vAlign w:val="bottom"/>
            <w:shd w:val="clear" w:color="auto" w:fill="DFE4EA"/>
          </w:tcPr>
          <w:p>
            <w:pPr>
              <w:spacing w:after="0"/>
              <w:rPr>
                <w:sz w:val="4"/>
                <w:szCs w:val="4"/>
                <w:color w:val="auto"/>
              </w:rPr>
            </w:pPr>
          </w:p>
        </w:tc>
        <w:tc>
          <w:tcPr>
            <w:tcW w:w="1620" w:type="dxa"/>
            <w:vAlign w:val="bottom"/>
            <w:shd w:val="clear" w:color="auto" w:fill="DFE4EA"/>
          </w:tcPr>
          <w:p>
            <w:pPr>
              <w:spacing w:after="0"/>
              <w:rPr>
                <w:sz w:val="4"/>
                <w:szCs w:val="4"/>
                <w:color w:val="auto"/>
              </w:rPr>
            </w:pPr>
          </w:p>
        </w:tc>
        <w:tc>
          <w:tcPr>
            <w:tcW w:w="7880" w:type="dxa"/>
            <w:vAlign w:val="bottom"/>
            <w:shd w:val="clear" w:color="auto" w:fill="DFE4EA"/>
          </w:tcPr>
          <w:p>
            <w:pPr>
              <w:spacing w:after="0"/>
              <w:rPr>
                <w:sz w:val="4"/>
                <w:szCs w:val="4"/>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The Compensation Committee (referred to in this section as the “Committee”) generally considers and approves executive officer compensation each year at a meeting held in the first quarter of the fiscal year. These compensation decisions take into account a variety of information and analyses, including, but not limited to, alignment of compensation vehicles with the Committee’s Compensation Philosophy, prior-year Company and individual executive officer performance (including the Company’s share price), current-year performance expectations and key business objectives, any changes in roles and responsibilities of executives, the external environment for talent, and competitive market data and market trends from various sources, including from the Committee’s independent compensation consultant and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2024 Say on Pay Vote and 2025 Program Decisions</w:t>
      </w:r>
    </w:p>
    <w:p>
      <w:pPr>
        <w:spacing w:after="0" w:line="122" w:lineRule="exact"/>
        <w:rPr>
          <w:sz w:val="20"/>
          <w:szCs w:val="20"/>
          <w:color w:val="auto"/>
        </w:rPr>
      </w:pPr>
    </w:p>
    <w:p>
      <w:pPr>
        <w:jc w:val="both"/>
        <w:ind w:firstLine="334"/>
        <w:spacing w:after="0" w:line="258" w:lineRule="auto"/>
        <w:rPr>
          <w:sz w:val="20"/>
          <w:szCs w:val="20"/>
          <w:color w:val="auto"/>
        </w:rPr>
      </w:pPr>
      <w:r>
        <w:rPr>
          <w:rFonts w:ascii="Arial" w:cs="Arial" w:eastAsia="Arial" w:hAnsi="Arial"/>
          <w:sz w:val="15"/>
          <w:szCs w:val="15"/>
          <w:color w:val="auto"/>
        </w:rPr>
        <w:t>At Artivion’s Annual Meeting of Stockholders on May 13, 2025, 97% of the stockholder votes cast were in favor of our NEOs’ 2024 compensation. This advisory vote indicated strong stockholder support for our executive officer compensation program, including our NEO compensation, and is consistent with the fact that over the past five years, on average, 94% of stockholder votes cast were in favor of our NEOs’ compensation.</w:t>
      </w:r>
    </w:p>
    <w:p>
      <w:pPr>
        <w:spacing w:after="0" w:line="290"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The Committee considered these advisory vote results on the 2024 executive compensation plan as it made compensation decisions for 2025. Based in part on this consideration, and together with individual executive officer performance, retention considerations, and the Company’s actual and expected performance as of February 2025, including its share price, as well as competitive market data and recommendations from various sources, including from the Committee’s independent compensation consultant and management, beginning in the fourth quarter of 2024, and concluding in February 2025, the Committee considered and approved the Company’s 2025 executive officer compensation programs as explained in more detail below.</w:t>
      </w:r>
    </w:p>
    <w:p>
      <w:pPr>
        <w:spacing w:after="0" w:line="128" w:lineRule="exact"/>
        <w:rPr>
          <w:sz w:val="20"/>
          <w:szCs w:val="20"/>
          <w:color w:val="auto"/>
        </w:rPr>
      </w:pPr>
    </w:p>
    <w:p>
      <w:pPr>
        <w:jc w:val="both"/>
        <w:ind w:firstLine="334"/>
        <w:spacing w:after="0" w:line="251" w:lineRule="auto"/>
        <w:rPr>
          <w:sz w:val="20"/>
          <w:szCs w:val="20"/>
          <w:color w:val="auto"/>
        </w:rPr>
      </w:pPr>
      <w:r>
        <w:rPr>
          <w:rFonts w:ascii="Arial" w:cs="Arial" w:eastAsia="Arial" w:hAnsi="Arial"/>
          <w:sz w:val="15"/>
          <w:szCs w:val="15"/>
          <w:color w:val="auto"/>
        </w:rPr>
        <w:t>As it did in 2024, and as explained in more detail below, the Committee determined to use full-year metrics for the 2025 incentive programs. The Committee then further considered the financial performance metrics and targets that would continue to incent the highest levels of performance from management during what was a critical time for the Company given its growth objectives, its commitments to deliver on stockholder value creation, and its desire to retain members of management it deemed key to the continued financial and operational success of the Company. The following is a summary of the Committee’s significant considerations and decisions made regarding NEO compensation for 2025:</w:t>
      </w:r>
    </w:p>
    <w:p>
      <w:pPr>
        <w:spacing w:after="0" w:line="293" w:lineRule="exact"/>
        <w:rPr>
          <w:sz w:val="20"/>
          <w:szCs w:val="20"/>
          <w:color w:val="auto"/>
        </w:rPr>
      </w:pPr>
    </w:p>
    <w:p>
      <w:pPr>
        <w:jc w:val="both"/>
        <w:ind w:left="660" w:hanging="325"/>
        <w:spacing w:after="0" w:line="253" w:lineRule="auto"/>
        <w:tabs>
          <w:tab w:leader="none" w:pos="660" w:val="left"/>
        </w:tabs>
        <w:numPr>
          <w:ilvl w:val="0"/>
          <w:numId w:val="21"/>
        </w:numPr>
        <w:rPr>
          <w:rFonts w:ascii="Arial" w:cs="Arial" w:eastAsia="Arial" w:hAnsi="Arial"/>
          <w:sz w:val="12"/>
          <w:szCs w:val="12"/>
          <w:color w:val="auto"/>
        </w:rPr>
      </w:pPr>
      <w:r>
        <w:rPr>
          <w:rFonts w:ascii="Arial" w:cs="Arial" w:eastAsia="Arial" w:hAnsi="Arial"/>
          <w:sz w:val="15"/>
          <w:szCs w:val="15"/>
          <w:color w:val="auto"/>
        </w:rPr>
        <w:t>NEOs received 2025 base salary increases of 3.0%-8.4% as compared to 2024, based on considerations such as personal performance, Company performance, and market positioning. As of August 11, 2025, Mr. Berry was appointed, in addition to his existing roles as Executive Vice President, Chief Financial Officer (CFO) and Treasurer, to the role of Chief Operating Officer (COO). In connection with this appointment, and in consultation with Willis Towers Watson, the Committee approved an increase in Mr. Berry’s base salary to $540,000, a cumulative increase of 8.0% over his 2024 base salary;</w:t>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28" w:name="page29"/>
    <w:bookmarkEnd w:id="28"/>
    <w:p>
      <w:pPr>
        <w:jc w:val="both"/>
        <w:ind w:left="660" w:hanging="325"/>
        <w:spacing w:after="0" w:line="253" w:lineRule="auto"/>
        <w:tabs>
          <w:tab w:leader="none" w:pos="660" w:val="left"/>
        </w:tabs>
        <w:numPr>
          <w:ilvl w:val="0"/>
          <w:numId w:val="22"/>
        </w:numPr>
        <w:rPr>
          <w:rFonts w:ascii="Arial" w:cs="Arial" w:eastAsia="Arial" w:hAnsi="Arial"/>
          <w:sz w:val="12"/>
          <w:szCs w:val="12"/>
          <w:color w:val="auto"/>
        </w:rPr>
      </w:pPr>
      <w:r>
        <w:rPr>
          <w:rFonts w:ascii="Arial" w:cs="Arial" w:eastAsia="Arial" w:hAnsi="Arial"/>
          <w:sz w:val="15"/>
          <w:szCs w:val="15"/>
          <w:color w:val="auto"/>
        </w:rPr>
        <w:t>With the exception of Mr. Berry, who was promoted mid-year, the Committee maintained the same percent-of-salary targets for 2025 cash bonuses that it used in 2024 to reflect Company performance and market positioning, at the following percentages of base salary: Mr. Mackin at 100%; and Ms. Holloway, Mr. Davis, and Mr. Stanton at 50%. In connection with Mr. Berry’s appointment as COO, and in consultation with Willis Towers Watson, the Committee approved an increase in Mr. Berry’s 2025 bonus target from 60% to 70% on a prorated basis;</w:t>
      </w:r>
    </w:p>
    <w:p>
      <w:pPr>
        <w:spacing w:after="0" w:line="293" w:lineRule="exact"/>
        <w:rPr>
          <w:rFonts w:ascii="Arial" w:cs="Arial" w:eastAsia="Arial" w:hAnsi="Arial"/>
          <w:sz w:val="12"/>
          <w:szCs w:val="12"/>
          <w:color w:val="auto"/>
        </w:rPr>
      </w:pPr>
    </w:p>
    <w:p>
      <w:pPr>
        <w:jc w:val="both"/>
        <w:ind w:left="660" w:hanging="325"/>
        <w:spacing w:after="0" w:line="250" w:lineRule="auto"/>
        <w:tabs>
          <w:tab w:leader="none" w:pos="660" w:val="left"/>
        </w:tabs>
        <w:numPr>
          <w:ilvl w:val="0"/>
          <w:numId w:val="22"/>
        </w:numPr>
        <w:rPr>
          <w:rFonts w:ascii="Arial" w:cs="Arial" w:eastAsia="Arial" w:hAnsi="Arial"/>
          <w:sz w:val="12"/>
          <w:szCs w:val="12"/>
          <w:color w:val="auto"/>
        </w:rPr>
      </w:pPr>
      <w:r>
        <w:rPr>
          <w:rFonts w:ascii="Arial" w:cs="Arial" w:eastAsia="Arial" w:hAnsi="Arial"/>
          <w:sz w:val="15"/>
          <w:szCs w:val="15"/>
          <w:color w:val="auto"/>
        </w:rPr>
        <w:t>As explained in more detail below, the Committee adopted the following financial metrics for the annual cash bonus plan and the annual performance share plan: (1) constant currency revenue growth and (2) constant currency adjusted EBITDA, concluding, with input from its advisors and management, that it was appropriate to use these metrics across both plans because they continued to be some of the most significant drivers of Company performance and stockholder value creation for 2025. The payout for the cash bonus was capped at 200% overall of target, inclusive of any adjustments for personal performance, and the payout for the performance share plan was also capped at 200% with no modifier for personal performance;</w:t>
      </w:r>
    </w:p>
    <w:p>
      <w:pPr>
        <w:spacing w:after="0" w:line="116" w:lineRule="exact"/>
        <w:rPr>
          <w:rFonts w:ascii="Arial" w:cs="Arial" w:eastAsia="Arial" w:hAnsi="Arial"/>
          <w:sz w:val="12"/>
          <w:szCs w:val="12"/>
          <w:color w:val="auto"/>
        </w:rPr>
      </w:pPr>
    </w:p>
    <w:p>
      <w:pPr>
        <w:jc w:val="both"/>
        <w:ind w:left="660" w:hanging="325"/>
        <w:spacing w:after="0" w:line="256" w:lineRule="auto"/>
        <w:tabs>
          <w:tab w:leader="none" w:pos="660" w:val="left"/>
        </w:tabs>
        <w:numPr>
          <w:ilvl w:val="0"/>
          <w:numId w:val="22"/>
        </w:numPr>
        <w:rPr>
          <w:rFonts w:ascii="Arial" w:cs="Arial" w:eastAsia="Arial" w:hAnsi="Arial"/>
          <w:sz w:val="12"/>
          <w:szCs w:val="12"/>
          <w:color w:val="auto"/>
        </w:rPr>
      </w:pPr>
      <w:r>
        <w:rPr>
          <w:rFonts w:ascii="Arial" w:cs="Arial" w:eastAsia="Arial" w:hAnsi="Arial"/>
          <w:sz w:val="15"/>
          <w:szCs w:val="15"/>
          <w:color w:val="auto"/>
        </w:rPr>
        <w:t>As in 2024, the Committee decided to forego the use of options and to use only two types of annual equity vehicles (restricted stock units (“RSU”) and performance stock units (“PSU”)) for officer annual long-term incentive awards, determining that using only RSUs and PSUs was more in-line with current market trends and the Company’s proxy peers and better supported the Company’s compensation objectives. The allocation among the equity vehicles was split equally between RSUs and PSUs;</w:t>
      </w:r>
    </w:p>
    <w:p>
      <w:pPr>
        <w:spacing w:after="0" w:line="122" w:lineRule="exact"/>
        <w:rPr>
          <w:rFonts w:ascii="Arial" w:cs="Arial" w:eastAsia="Arial" w:hAnsi="Arial"/>
          <w:sz w:val="12"/>
          <w:szCs w:val="12"/>
          <w:color w:val="auto"/>
        </w:rPr>
      </w:pPr>
    </w:p>
    <w:p>
      <w:pPr>
        <w:jc w:val="both"/>
        <w:ind w:left="660" w:hanging="325"/>
        <w:spacing w:after="0" w:line="249" w:lineRule="auto"/>
        <w:tabs>
          <w:tab w:leader="none" w:pos="660" w:val="left"/>
        </w:tabs>
        <w:numPr>
          <w:ilvl w:val="0"/>
          <w:numId w:val="22"/>
        </w:numPr>
        <w:rPr>
          <w:rFonts w:ascii="Arial" w:cs="Arial" w:eastAsia="Arial" w:hAnsi="Arial"/>
          <w:sz w:val="12"/>
          <w:szCs w:val="12"/>
          <w:color w:val="auto"/>
        </w:rPr>
      </w:pPr>
      <w:r>
        <w:rPr>
          <w:rFonts w:ascii="Arial" w:cs="Arial" w:eastAsia="Arial" w:hAnsi="Arial"/>
          <w:sz w:val="15"/>
          <w:szCs w:val="15"/>
          <w:color w:val="auto"/>
        </w:rPr>
        <w:t>The Committee increased the target annual equity value from 2024 to 2025 for all NEOs both as a reward for exceptional individual performance, and to bring annual equity targets more in-line with market medians for such officers, because those medians (particularly with respect to SVPs) increased over the past year. The target annual equity values for NEOs’ annual equity in 2025 were as follows: Mr. Mackin’s was $5,007,000; Mr. Berry’s was $1,750,000; Mr. Davis’s was $1,235,000; Ms. Holloway’s was $1,190,000; and Mr. Stanton’s was $935,000. In connection with Mr. Berry’s appointment as COO, he received an additional off-cycle grant of $210,000. As in prior years, the 2025 annual equity grant gave executives the potential through superior performance to earn target equity payouts in range of the 75th percentile;</w:t>
      </w:r>
    </w:p>
    <w:p>
      <w:pPr>
        <w:spacing w:after="0" w:line="115" w:lineRule="exact"/>
        <w:rPr>
          <w:rFonts w:ascii="Arial" w:cs="Arial" w:eastAsia="Arial" w:hAnsi="Arial"/>
          <w:sz w:val="12"/>
          <w:szCs w:val="12"/>
          <w:color w:val="auto"/>
        </w:rPr>
      </w:pPr>
    </w:p>
    <w:p>
      <w:pPr>
        <w:jc w:val="both"/>
        <w:ind w:left="660" w:hanging="325"/>
        <w:spacing w:after="0" w:line="250" w:lineRule="auto"/>
        <w:tabs>
          <w:tab w:leader="none" w:pos="660" w:val="left"/>
        </w:tabs>
        <w:numPr>
          <w:ilvl w:val="0"/>
          <w:numId w:val="22"/>
        </w:numPr>
        <w:rPr>
          <w:rFonts w:ascii="Arial" w:cs="Arial" w:eastAsia="Arial" w:hAnsi="Arial"/>
          <w:sz w:val="12"/>
          <w:szCs w:val="12"/>
          <w:color w:val="auto"/>
        </w:rPr>
      </w:pPr>
      <w:r>
        <w:rPr>
          <w:rFonts w:ascii="Arial" w:cs="Arial" w:eastAsia="Arial" w:hAnsi="Arial"/>
          <w:sz w:val="15"/>
          <w:szCs w:val="15"/>
          <w:color w:val="auto"/>
        </w:rPr>
        <w:t>In February 2025, the Committee adopted a framework for the cash bonus and performance stock plans and the metrics for the 2025 incentive plans. The Committee finalized and approved the full-year financial metrics for both the 2025 cash bonus and performance share plans as follows: (a) for the cash bonus plan, (1) a metric of constant currency revenue growth in 2025 versus 2024 with a target of 13%, weighted at 50%, and (2) a metric based on performance to target constant currency adjusted EBITDA growth with a target of 26%, also weighted at 50%; and (b) for the performance share plan, the same metrics of constant currency revenue growth and constant currency adjusted EBITDA growth, weighted at 50% and 50%, respectively; and</w:t>
      </w:r>
    </w:p>
    <w:p>
      <w:pPr>
        <w:spacing w:after="0" w:line="116" w:lineRule="exact"/>
        <w:rPr>
          <w:rFonts w:ascii="Arial" w:cs="Arial" w:eastAsia="Arial" w:hAnsi="Arial"/>
          <w:sz w:val="12"/>
          <w:szCs w:val="12"/>
          <w:color w:val="auto"/>
        </w:rPr>
      </w:pPr>
    </w:p>
    <w:p>
      <w:pPr>
        <w:ind w:left="660" w:hanging="325"/>
        <w:spacing w:after="0" w:line="285" w:lineRule="auto"/>
        <w:tabs>
          <w:tab w:leader="none" w:pos="660" w:val="left"/>
        </w:tabs>
        <w:numPr>
          <w:ilvl w:val="0"/>
          <w:numId w:val="22"/>
        </w:numPr>
        <w:rPr>
          <w:rFonts w:ascii="Arial" w:cs="Arial" w:eastAsia="Arial" w:hAnsi="Arial"/>
          <w:sz w:val="12"/>
          <w:szCs w:val="12"/>
          <w:color w:val="auto"/>
        </w:rPr>
      </w:pPr>
      <w:r>
        <w:rPr>
          <w:rFonts w:ascii="Arial" w:cs="Arial" w:eastAsia="Arial" w:hAnsi="Arial"/>
          <w:sz w:val="15"/>
          <w:szCs w:val="15"/>
          <w:color w:val="auto"/>
        </w:rPr>
        <w:t>In February 2026, the Committee evaluated the Company’s full year financial results for 2025, considered whether any incentive plan adjustments were warranted and concluded that they were not.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Pay-for-Performance Alignment, Including Incentive Plan Designs and Metrics</w:t>
      </w:r>
    </w:p>
    <w:p>
      <w:pPr>
        <w:spacing w:after="0" w:line="110"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The Committee believes it has developed a compensation program that ensures that the interests of the Company’s executive officers, including its NEOs, are aligned with those of its stockholders by strongly linking executive officer compensation with Company and personal performance at levels such that executive officers are incented to drive long-term value creation, especially given the Company’s growth objectives in the coming years. The key pay-for-performance aspects of the 2025 executive officer compensation program are described below:</w:t>
      </w:r>
    </w:p>
    <w:p>
      <w:pPr>
        <w:spacing w:after="0" w:line="122" w:lineRule="exact"/>
        <w:rPr>
          <w:sz w:val="20"/>
          <w:szCs w:val="20"/>
          <w:color w:val="auto"/>
        </w:rPr>
      </w:pPr>
    </w:p>
    <w:p>
      <w:pPr>
        <w:ind w:left="660" w:hanging="325"/>
        <w:spacing w:after="0"/>
        <w:tabs>
          <w:tab w:leader="none" w:pos="660" w:val="left"/>
        </w:tabs>
        <w:numPr>
          <w:ilvl w:val="0"/>
          <w:numId w:val="23"/>
        </w:numPr>
        <w:rPr>
          <w:rFonts w:ascii="Arial" w:cs="Arial" w:eastAsia="Arial" w:hAnsi="Arial"/>
          <w:sz w:val="12"/>
          <w:szCs w:val="12"/>
          <w:color w:val="auto"/>
        </w:rPr>
      </w:pPr>
      <w:r>
        <w:rPr>
          <w:rFonts w:ascii="Arial" w:cs="Arial" w:eastAsia="Arial" w:hAnsi="Arial"/>
          <w:sz w:val="15"/>
          <w:szCs w:val="15"/>
          <w:color w:val="auto"/>
        </w:rPr>
        <w:t>50% or more of each NEO’s total target direct compensation is in the form of variable pay tied to individual and Company performance;</w:t>
      </w:r>
    </w:p>
    <w:p>
      <w:pPr>
        <w:spacing w:after="0" w:line="152" w:lineRule="exact"/>
        <w:rPr>
          <w:rFonts w:ascii="Arial" w:cs="Arial" w:eastAsia="Arial" w:hAnsi="Arial"/>
          <w:sz w:val="12"/>
          <w:szCs w:val="12"/>
          <w:color w:val="auto"/>
        </w:rPr>
      </w:pPr>
    </w:p>
    <w:p>
      <w:pPr>
        <w:jc w:val="both"/>
        <w:ind w:left="660" w:hanging="325"/>
        <w:spacing w:after="0" w:line="258" w:lineRule="auto"/>
        <w:tabs>
          <w:tab w:leader="none" w:pos="660" w:val="left"/>
        </w:tabs>
        <w:numPr>
          <w:ilvl w:val="0"/>
          <w:numId w:val="23"/>
        </w:numPr>
        <w:rPr>
          <w:rFonts w:ascii="Arial" w:cs="Arial" w:eastAsia="Arial" w:hAnsi="Arial"/>
          <w:sz w:val="12"/>
          <w:szCs w:val="12"/>
          <w:color w:val="auto"/>
        </w:rPr>
      </w:pPr>
      <w:r>
        <w:rPr>
          <w:rFonts w:ascii="Arial" w:cs="Arial" w:eastAsia="Arial" w:hAnsi="Arial"/>
          <w:sz w:val="15"/>
          <w:szCs w:val="15"/>
          <w:color w:val="auto"/>
        </w:rPr>
        <w:t>Short-term incentives are designed to be based on constant currency revenue growth and constant currency adjusted EBITDA growth, factors that are believed to create significant stockholder value creation, and over which executive officers are believed to have substantial control, and that are intended to incentivize executive officers to achieve Company target performance on these key financial metrics;</w:t>
      </w:r>
    </w:p>
    <w:p>
      <w:pPr>
        <w:spacing w:after="0" w:line="290" w:lineRule="exact"/>
        <w:rPr>
          <w:rFonts w:ascii="Arial" w:cs="Arial" w:eastAsia="Arial" w:hAnsi="Arial"/>
          <w:sz w:val="12"/>
          <w:szCs w:val="12"/>
          <w:color w:val="auto"/>
        </w:rPr>
      </w:pPr>
    </w:p>
    <w:p>
      <w:pPr>
        <w:ind w:left="660" w:hanging="325"/>
        <w:spacing w:after="0" w:line="285" w:lineRule="auto"/>
        <w:tabs>
          <w:tab w:leader="none" w:pos="660" w:val="left"/>
        </w:tabs>
        <w:numPr>
          <w:ilvl w:val="0"/>
          <w:numId w:val="23"/>
        </w:numPr>
        <w:rPr>
          <w:rFonts w:ascii="Arial" w:cs="Arial" w:eastAsia="Arial" w:hAnsi="Arial"/>
          <w:sz w:val="12"/>
          <w:szCs w:val="12"/>
          <w:color w:val="auto"/>
        </w:rPr>
      </w:pPr>
      <w:r>
        <w:rPr>
          <w:rFonts w:ascii="Arial" w:cs="Arial" w:eastAsia="Arial" w:hAnsi="Arial"/>
          <w:sz w:val="15"/>
          <w:szCs w:val="15"/>
          <w:color w:val="auto"/>
        </w:rPr>
        <w:t>Targets for short-term incentive opportunities are set at challenging levels designed to incentivize executive officers to achieve business growth at or above levels expected by stockholders, while setting up the Company for long-term success and continued growth;</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29" w:name="page30"/>
    <w:bookmarkEnd w:id="29"/>
    <w:p>
      <w:pPr>
        <w:jc w:val="both"/>
        <w:ind w:left="660" w:hanging="325"/>
        <w:spacing w:after="0" w:line="256" w:lineRule="auto"/>
        <w:tabs>
          <w:tab w:leader="none" w:pos="660" w:val="left"/>
        </w:tabs>
        <w:numPr>
          <w:ilvl w:val="0"/>
          <w:numId w:val="24"/>
        </w:numPr>
        <w:rPr>
          <w:rFonts w:ascii="Arial" w:cs="Arial" w:eastAsia="Arial" w:hAnsi="Arial"/>
          <w:sz w:val="12"/>
          <w:szCs w:val="12"/>
          <w:color w:val="auto"/>
        </w:rPr>
      </w:pPr>
      <w:r>
        <w:rPr>
          <w:rFonts w:ascii="Arial" w:cs="Arial" w:eastAsia="Arial" w:hAnsi="Arial"/>
          <w:sz w:val="15"/>
          <w:szCs w:val="15"/>
          <w:color w:val="auto"/>
        </w:rPr>
        <w:t>Annual long-term incentive opportunities are equity-based and include performance stock units, which are designed to be earned only if specified results at challenging levels for revenue and adjusted EBITDA growth are attained, thereby incentivizing executive officer performance that furthers the Company’s strategic goals and drives stockholder value. Such performance stock units are not fully earned if such challenging levels are not met;</w:t>
      </w:r>
    </w:p>
    <w:p>
      <w:pPr>
        <w:spacing w:after="0" w:line="75" w:lineRule="exact"/>
        <w:rPr>
          <w:rFonts w:ascii="Arial" w:cs="Arial" w:eastAsia="Arial" w:hAnsi="Arial"/>
          <w:sz w:val="12"/>
          <w:szCs w:val="12"/>
          <w:color w:val="auto"/>
        </w:rPr>
      </w:pPr>
    </w:p>
    <w:p>
      <w:pPr>
        <w:ind w:left="660" w:hanging="325"/>
        <w:spacing w:after="0" w:line="285" w:lineRule="auto"/>
        <w:tabs>
          <w:tab w:leader="none" w:pos="660" w:val="left"/>
        </w:tabs>
        <w:numPr>
          <w:ilvl w:val="0"/>
          <w:numId w:val="24"/>
        </w:numPr>
        <w:rPr>
          <w:rFonts w:ascii="Arial" w:cs="Arial" w:eastAsia="Arial" w:hAnsi="Arial"/>
          <w:sz w:val="12"/>
          <w:szCs w:val="12"/>
          <w:color w:val="auto"/>
        </w:rPr>
      </w:pPr>
      <w:r>
        <w:rPr>
          <w:rFonts w:ascii="Arial" w:cs="Arial" w:eastAsia="Arial" w:hAnsi="Arial"/>
          <w:sz w:val="15"/>
          <w:szCs w:val="15"/>
          <w:color w:val="auto"/>
        </w:rPr>
        <w:t>NEOs are subject to stock ownership requirements to ensure alignment with stockholders and to encourage executive officers to maintain a long-term view of Company performance; and</w:t>
      </w:r>
    </w:p>
    <w:p>
      <w:pPr>
        <w:spacing w:after="0" w:line="65" w:lineRule="exact"/>
        <w:rPr>
          <w:rFonts w:ascii="Arial" w:cs="Arial" w:eastAsia="Arial" w:hAnsi="Arial"/>
          <w:sz w:val="12"/>
          <w:szCs w:val="12"/>
          <w:color w:val="auto"/>
        </w:rPr>
      </w:pPr>
    </w:p>
    <w:p>
      <w:pPr>
        <w:jc w:val="both"/>
        <w:ind w:left="660" w:hanging="325"/>
        <w:spacing w:after="0" w:line="263" w:lineRule="auto"/>
        <w:tabs>
          <w:tab w:leader="none" w:pos="660" w:val="left"/>
        </w:tabs>
        <w:numPr>
          <w:ilvl w:val="0"/>
          <w:numId w:val="24"/>
        </w:numPr>
        <w:rPr>
          <w:rFonts w:ascii="Arial" w:cs="Arial" w:eastAsia="Arial" w:hAnsi="Arial"/>
          <w:sz w:val="12"/>
          <w:szCs w:val="12"/>
          <w:color w:val="auto"/>
        </w:rPr>
      </w:pPr>
      <w:r>
        <w:rPr>
          <w:rFonts w:ascii="Arial" w:cs="Arial" w:eastAsia="Arial" w:hAnsi="Arial"/>
          <w:sz w:val="15"/>
          <w:szCs w:val="15"/>
          <w:color w:val="auto"/>
        </w:rPr>
        <w:t>Our Clawback Policy is designed to diminish the likelihood that executive officers unjustly benefit in cash or equity from material misstatements in our financial statements, or from restatements that correct errors that are not material to previously issued financial statements but would result in a material misstatement if corrected or left uncorrected in a current financial reporting period.</w:t>
      </w:r>
    </w:p>
    <w:p>
      <w:pPr>
        <w:spacing w:after="0" w:line="82" w:lineRule="exact"/>
        <w:rPr>
          <w:sz w:val="20"/>
          <w:szCs w:val="20"/>
          <w:color w:val="auto"/>
        </w:rPr>
      </w:pPr>
    </w:p>
    <w:p>
      <w:pPr>
        <w:ind w:firstLine="334"/>
        <w:spacing w:after="0" w:line="262" w:lineRule="auto"/>
        <w:rPr>
          <w:sz w:val="20"/>
          <w:szCs w:val="20"/>
          <w:color w:val="auto"/>
        </w:rPr>
      </w:pPr>
      <w:r>
        <w:rPr>
          <w:rFonts w:ascii="Arial" w:cs="Arial" w:eastAsia="Arial" w:hAnsi="Arial"/>
          <w:sz w:val="15"/>
          <w:szCs w:val="15"/>
          <w:color w:val="auto"/>
        </w:rPr>
        <w:t>As described in this Proxy Statement, in 2025, the executive officer compensation program effectively delivered pay-for-performance as follows:</w:t>
      </w:r>
    </w:p>
    <w:p>
      <w:pPr>
        <w:spacing w:after="0" w:line="276" w:lineRule="exact"/>
        <w:rPr>
          <w:sz w:val="20"/>
          <w:szCs w:val="20"/>
          <w:color w:val="auto"/>
        </w:rPr>
      </w:pPr>
    </w:p>
    <w:p>
      <w:pPr>
        <w:jc w:val="both"/>
        <w:ind w:left="660" w:hanging="325"/>
        <w:spacing w:after="0" w:line="256" w:lineRule="auto"/>
        <w:tabs>
          <w:tab w:leader="none" w:pos="660" w:val="left"/>
        </w:tabs>
        <w:numPr>
          <w:ilvl w:val="0"/>
          <w:numId w:val="25"/>
        </w:numPr>
        <w:rPr>
          <w:rFonts w:ascii="Arial" w:cs="Arial" w:eastAsia="Arial" w:hAnsi="Arial"/>
          <w:sz w:val="12"/>
          <w:szCs w:val="12"/>
          <w:color w:val="auto"/>
        </w:rPr>
      </w:pPr>
      <w:r>
        <w:rPr>
          <w:rFonts w:ascii="Arial" w:cs="Arial" w:eastAsia="Arial" w:hAnsi="Arial"/>
          <w:sz w:val="15"/>
          <w:szCs w:val="15"/>
          <w:color w:val="auto"/>
        </w:rPr>
        <w:t>In 2025, we achieved constant currency revenue growth of 13.2%, and constant currency adjusted EBITDA growth of 28.6% (resulting in adjusted EBITDA of $89.6 million), both of which were within the Company’s guidance. We also made three important regulatory filings with the FDA that are essential to the Company’s plans to bring its portfolio of aortic stent graft products to the U.S. market. This performance resulted in payouts of 118.7% for the cash bonus plan and the annual performance share plan.</w:t>
      </w:r>
    </w:p>
    <w:p>
      <w:pPr>
        <w:spacing w:after="0" w:line="88"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Throughout this Proxy Statement, we refer to revenue and adjusted EBITDA. Adjusted EBITDA reflects adjustments to measures reported under U.S. generally accepted accounting principles (“GAAP”). Appendix A to this Proxy Statement provides certain required information related to these non-GAAP measures, including a reconciliation to our audited U.S. GAAP financial statement measures for 2025, as presented in our 2025 Form 10-K filed on February 18, 2026.</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99" w:lineRule="exact"/>
        <w:rPr>
          <w:sz w:val="20"/>
          <w:szCs w:val="20"/>
          <w:color w:val="auto"/>
        </w:rPr>
      </w:pPr>
    </w:p>
    <w:p>
      <w:pPr>
        <w:jc w:val="both"/>
        <w:ind w:firstLine="334"/>
        <w:spacing w:after="0" w:line="246" w:lineRule="auto"/>
        <w:rPr>
          <w:sz w:val="20"/>
          <w:szCs w:val="20"/>
          <w:color w:val="auto"/>
        </w:rPr>
      </w:pPr>
      <w:r>
        <w:rPr>
          <w:rFonts w:ascii="Arial" w:cs="Arial" w:eastAsia="Arial" w:hAnsi="Arial"/>
          <w:sz w:val="15"/>
          <w:szCs w:val="15"/>
          <w:color w:val="auto"/>
        </w:rPr>
        <w:t>The Committee determines and approves the compensation of Artivion’s executive officers, including the NEOs, except that it jointly determines and approves with the Corporate Governance Committee the compensation of Artivion’s Chief Executive Officer. The Committee is supported by the Chief Executive Officer, other executive officer management, an independent compensation consultant, and other advisors that the Committee, or management on its behalf, consults from time to time, as well as information and data supplied by each of these persons. The consultant attends Committee meetings when invited and provides input, information, and data as requested by the Committee. The Committee regularly meets in executive session without the Chief Executive Officer or any members of management present. For 2025, the Committee made compensation decisions based on its own considerations and analyses, the Compensation Philosophy of the Committee, as well as on information provided by and recommendations from the Committee’s independent compensation consultant, other advisors, and management. Our Chief Executive Officer does not exercise any decision-making authority over his own compensation and does not participate in Compensation or Corporate Governance Committee meetings or Board meetings regarding his own compensation, except during his annual performance review to discuss his own performance and compensation with those Committees or the Board.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Independent Compensation Consultant</w:t>
      </w:r>
    </w:p>
    <w:p>
      <w:pPr>
        <w:spacing w:after="0" w:line="99" w:lineRule="exact"/>
        <w:rPr>
          <w:sz w:val="20"/>
          <w:szCs w:val="20"/>
          <w:color w:val="auto"/>
        </w:rPr>
      </w:pPr>
    </w:p>
    <w:p>
      <w:pPr>
        <w:jc w:val="both"/>
        <w:ind w:firstLine="334"/>
        <w:spacing w:after="0" w:line="246" w:lineRule="auto"/>
        <w:rPr>
          <w:sz w:val="20"/>
          <w:szCs w:val="20"/>
          <w:color w:val="auto"/>
        </w:rPr>
      </w:pPr>
      <w:r>
        <w:rPr>
          <w:rFonts w:ascii="Arial" w:cs="Arial" w:eastAsia="Arial" w:hAnsi="Arial"/>
          <w:sz w:val="15"/>
          <w:szCs w:val="15"/>
          <w:color w:val="auto"/>
        </w:rPr>
        <w:t>The Committee has the authority to engage consultants, including compensation consultants, to assist with its responsibilities. With respect to general executive officer compensation decisions made during fiscal 2025 and regarding 2025 compensation, the Committee retained Willis Towers Watson as its primary compensation consultant for general executive officer compensation matters. The compensation consultant reports directly to the Committee, is directed by the Committee, and provides only those services authorized by the Committee. The compensation consultant provides no other services to Artivion. The compensation consultant generally performs an annual review of officer compensation and biennial review of non-employee director compensation, analyzes the relationship between executive officer pay, including that of our Chief Executive Officer, and Company performance, compares executive officer and non-employee director compensation against such compensation of appropriate comparable companies and industry standards, informs the Committee of emerging practices and trends, assists with special projects at the request of the Committee, and attends Committee meetings when invited. In February 2025, and again in February 2026, the Committee assessed the independence of Willis Towers Watson pursuant to applicable SEC and NYSE rules and concluded that Willis Towers Watson was independent and its work for the Committee did not raise any conflict-of-interest concerns.</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9"/>
          <w:szCs w:val="19"/>
          <w:b w:val="1"/>
          <w:bCs w:val="1"/>
          <w:color w:val="2B4B74"/>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color w:val="auto"/>
        </w:rPr>
        <w:t>The Committee’s Compensation Philosophy is to attract, retain, motivate, and reward executive officer talent that has the capability, and is appropriately incented, to deliver on the Company’s short and long-term growth and other strategic objectives and on the Company’s commitments to its stockholders, in particular long-term value creation. To that end, the Company has designed the compensation program to align with corporate strategy and short-term and long-term objectives, achieve market competitiveness, emphasize pay-for-performance, align with stockholder interests, balance the interests of key stakeholders, incent management to address unforeseen challenges, and recognize the unique attributes specific to Artivion and its executive officer team. Each primary component of compensation is intended to accomplish one or more of these objectives, as summarized in the table below.</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Compensation</w:t>
      </w:r>
    </w:p>
    <w:p>
      <w:pPr>
        <w:spacing w:after="0" w:line="17" w:lineRule="exact"/>
        <w:rPr>
          <w:sz w:val="20"/>
          <w:szCs w:val="20"/>
          <w:color w:val="auto"/>
        </w:rPr>
      </w:pPr>
    </w:p>
    <w:p>
      <w:pPr>
        <w:ind w:left="460"/>
        <w:spacing w:after="0"/>
        <w:tabs>
          <w:tab w:leader="none" w:pos="2700" w:val="left"/>
          <w:tab w:leader="none" w:pos="5520" w:val="left"/>
          <w:tab w:leader="none" w:pos="7520" w:val="left"/>
        </w:tabs>
        <w:rPr>
          <w:sz w:val="20"/>
          <w:szCs w:val="20"/>
          <w:color w:val="auto"/>
        </w:rPr>
      </w:pPr>
      <w:r>
        <w:rPr>
          <w:rFonts w:ascii="Arial" w:cs="Arial" w:eastAsia="Arial" w:hAnsi="Arial"/>
          <w:sz w:val="15"/>
          <w:szCs w:val="15"/>
          <w:b w:val="1"/>
          <w:bCs w:val="1"/>
          <w:color w:val="auto"/>
        </w:rPr>
        <w:t>Component</w:t>
      </w:r>
      <w:r>
        <w:rPr>
          <w:sz w:val="20"/>
          <w:szCs w:val="20"/>
          <w:color w:val="auto"/>
        </w:rPr>
        <w:tab/>
      </w:r>
      <w:r>
        <w:rPr>
          <w:rFonts w:ascii="Arial" w:cs="Arial" w:eastAsia="Arial" w:hAnsi="Arial"/>
          <w:sz w:val="15"/>
          <w:szCs w:val="15"/>
          <w:b w:val="1"/>
          <w:bCs w:val="1"/>
          <w:color w:val="auto"/>
        </w:rPr>
        <w:t>Primary Purpose</w:t>
      </w:r>
      <w:r>
        <w:rPr>
          <w:sz w:val="20"/>
          <w:szCs w:val="20"/>
          <w:color w:val="auto"/>
        </w:rPr>
        <w:tab/>
      </w:r>
      <w:r>
        <w:rPr>
          <w:rFonts w:ascii="Arial" w:cs="Arial" w:eastAsia="Arial" w:hAnsi="Arial"/>
          <w:sz w:val="15"/>
          <w:szCs w:val="15"/>
          <w:b w:val="1"/>
          <w:bCs w:val="1"/>
          <w:color w:val="auto"/>
        </w:rPr>
        <w:t>Form</w:t>
      </w:r>
      <w:r>
        <w:rPr>
          <w:sz w:val="20"/>
          <w:szCs w:val="20"/>
          <w:color w:val="auto"/>
        </w:rPr>
        <w:tab/>
      </w:r>
      <w:r>
        <w:rPr>
          <w:rFonts w:ascii="Arial" w:cs="Arial" w:eastAsia="Arial" w:hAnsi="Arial"/>
          <w:sz w:val="15"/>
          <w:szCs w:val="15"/>
          <w:b w:val="1"/>
          <w:bCs w:val="1"/>
          <w:color w:val="auto"/>
        </w:rPr>
        <w:t>Performance Linkage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8172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63335" cy="81724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5"/>
          <w:szCs w:val="15"/>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Short-Term Incentive</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1220"/>
        <w:spacing w:after="0" w:line="256" w:lineRule="auto"/>
        <w:rPr>
          <w:sz w:val="20"/>
          <w:szCs w:val="20"/>
          <w:color w:val="auto"/>
        </w:rPr>
      </w:pPr>
      <w:r>
        <w:rPr>
          <w:rFonts w:ascii="Arial" w:cs="Arial" w:eastAsia="Arial" w:hAnsi="Arial"/>
          <w:sz w:val="15"/>
          <w:szCs w:val="15"/>
          <w:color w:val="auto"/>
        </w:rPr>
        <w:t>Provide sufficiently competitive pay to attract, retain, motivate, and reward experienced and capable executive officer talent.</w:t>
      </w:r>
    </w:p>
    <w:p>
      <w:pPr>
        <w:spacing w:after="0" w:line="354" w:lineRule="exact"/>
        <w:rPr>
          <w:sz w:val="20"/>
          <w:szCs w:val="20"/>
          <w:color w:val="auto"/>
        </w:rPr>
      </w:pPr>
    </w:p>
    <w:p>
      <w:pPr>
        <w:ind w:right="1120"/>
        <w:spacing w:after="0" w:line="248" w:lineRule="auto"/>
        <w:rPr>
          <w:sz w:val="20"/>
          <w:szCs w:val="20"/>
          <w:color w:val="auto"/>
        </w:rPr>
      </w:pPr>
      <w:r>
        <w:rPr>
          <w:rFonts w:ascii="Arial" w:cs="Arial" w:eastAsia="Arial" w:hAnsi="Arial"/>
          <w:sz w:val="15"/>
          <w:szCs w:val="15"/>
          <w:color w:val="auto"/>
        </w:rPr>
        <w:t>Encourage and reward both individual achievement of performance objectives and aggregate Company performance against short-term financial and operating goals, maintain market competitiveness for top executive officer talent, and recognize the unique attributes an executive officer brings to the Company.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400"/>
        <w:spacing w:after="0" w:line="248" w:lineRule="auto"/>
        <w:rPr>
          <w:sz w:val="20"/>
          <w:szCs w:val="20"/>
          <w:color w:val="auto"/>
        </w:rPr>
      </w:pPr>
      <w:r>
        <w:rPr>
          <w:rFonts w:ascii="Arial" w:cs="Arial" w:eastAsia="Arial" w:hAnsi="Arial"/>
          <w:sz w:val="15"/>
          <w:szCs w:val="15"/>
          <w:color w:val="auto"/>
        </w:rPr>
        <w:t>Base salaries are determined based on individual executive officer performance, competitive market positioning, internal pay</w:t>
      </w:r>
    </w:p>
    <w:p>
      <w:pPr>
        <w:spacing w:after="0" w:line="1" w:lineRule="exact"/>
        <w:rPr>
          <w:sz w:val="20"/>
          <w:szCs w:val="20"/>
          <w:color w:val="auto"/>
        </w:rPr>
      </w:pPr>
    </w:p>
    <w:p>
      <w:pPr>
        <w:ind w:right="80" w:hanging="1099"/>
        <w:spacing w:after="0" w:line="250" w:lineRule="auto"/>
        <w:rPr>
          <w:sz w:val="20"/>
          <w:szCs w:val="20"/>
          <w:color w:val="auto"/>
        </w:rPr>
      </w:pPr>
      <w:r>
        <w:rPr>
          <w:rFonts w:ascii="Arial" w:cs="Arial" w:eastAsia="Arial" w:hAnsi="Arial"/>
          <w:sz w:val="15"/>
          <w:szCs w:val="15"/>
          <w:color w:val="auto"/>
        </w:rPr>
        <w:t>Cash</w:t>
      </w:r>
      <w:r>
        <w:rPr>
          <w:sz w:val="20"/>
          <w:szCs w:val="20"/>
          <w:color w:val="auto"/>
        </w:rPr>
        <w:t xml:space="preserve"> </w:t>
      </w:r>
      <w:r>
        <w:rPr>
          <w:rFonts w:ascii="Arial" w:cs="Arial" w:eastAsia="Arial" w:hAnsi="Arial"/>
          <w:sz w:val="15"/>
          <w:szCs w:val="15"/>
          <w:color w:val="auto"/>
        </w:rPr>
        <w:t>equity, and other factors. In addition, Company performance impacts the decision as to whether any salary adjustments are made when they are established in February of each year.</w:t>
      </w:r>
    </w:p>
    <w:p>
      <w:pPr>
        <w:spacing w:after="0" w:line="10" w:lineRule="exact"/>
        <w:rPr>
          <w:sz w:val="20"/>
          <w:szCs w:val="20"/>
          <w:color w:val="auto"/>
        </w:rPr>
      </w:pPr>
    </w:p>
    <w:p>
      <w:pPr>
        <w:ind w:right="120"/>
        <w:spacing w:after="0" w:line="246" w:lineRule="auto"/>
        <w:rPr>
          <w:sz w:val="20"/>
          <w:szCs w:val="20"/>
          <w:color w:val="auto"/>
        </w:rPr>
      </w:pPr>
      <w:r>
        <w:rPr>
          <w:rFonts w:ascii="Arial" w:cs="Arial" w:eastAsia="Arial" w:hAnsi="Arial"/>
          <w:sz w:val="15"/>
          <w:szCs w:val="15"/>
          <w:color w:val="auto"/>
        </w:rPr>
        <w:t>Short-term incentive payouts are 100% performance-based, with the structure for fiscal 2025 having payouts based 50% on entire-year constant currency revenue growth during 2025</w:t>
      </w:r>
    </w:p>
    <w:p>
      <w:pPr>
        <w:spacing w:after="0" w:line="3" w:lineRule="exact"/>
        <w:rPr>
          <w:sz w:val="20"/>
          <w:szCs w:val="20"/>
          <w:color w:val="auto"/>
        </w:rPr>
      </w:pPr>
    </w:p>
    <w:p>
      <w:pPr>
        <w:ind w:right="120" w:hanging="1099"/>
        <w:spacing w:after="0" w:line="248" w:lineRule="auto"/>
        <w:rPr>
          <w:sz w:val="20"/>
          <w:szCs w:val="20"/>
          <w:color w:val="auto"/>
        </w:rPr>
      </w:pPr>
      <w:r>
        <w:rPr>
          <w:rFonts w:ascii="Arial" w:cs="Arial" w:eastAsia="Arial" w:hAnsi="Arial"/>
          <w:sz w:val="15"/>
          <w:szCs w:val="15"/>
          <w:color w:val="auto"/>
        </w:rPr>
        <w:t>Cash</w:t>
      </w:r>
      <w:r>
        <w:rPr>
          <w:sz w:val="20"/>
          <w:szCs w:val="20"/>
          <w:color w:val="auto"/>
        </w:rPr>
        <w:t xml:space="preserve"> </w:t>
      </w:r>
      <w:r>
        <w:rPr>
          <w:rFonts w:ascii="Arial" w:cs="Arial" w:eastAsia="Arial" w:hAnsi="Arial"/>
          <w:sz w:val="15"/>
          <w:szCs w:val="15"/>
          <w:color w:val="auto"/>
        </w:rPr>
        <w:t>and 50% on entire-year constant currency adjusted EBITDA growth during 2025. The payout can then be increased or reduced by up to 20% based on individual executive officer performance, up to an overall cap of 200%.</w:t>
      </w:r>
    </w:p>
    <w:p>
      <w:pPr>
        <w:spacing w:after="0" w:line="13" w:lineRule="exact"/>
        <w:rPr>
          <w:sz w:val="20"/>
          <w:szCs w:val="20"/>
          <w:color w:val="auto"/>
        </w:rPr>
      </w:pPr>
    </w:p>
    <w:p>
      <w:pPr>
        <w:sectPr>
          <w:pgSz w:w="11900" w:h="16838" w:orient="portrait"/>
          <w:cols w:equalWidth="0" w:num="3">
            <w:col w:w="1460" w:space="380"/>
            <w:col w:w="4100" w:space="720"/>
            <w:col w:w="3360"/>
          </w:cols>
          <w:pgMar w:left="980" w:top="870" w:right="89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1700" w:type="dxa"/>
            <w:vAlign w:val="bottom"/>
            <w:shd w:val="clear" w:color="auto" w:fill="DFE4EA"/>
          </w:tcPr>
          <w:p>
            <w:pPr>
              <w:spacing w:after="0"/>
              <w:rPr>
                <w:sz w:val="14"/>
                <w:szCs w:val="14"/>
                <w:color w:val="auto"/>
              </w:rPr>
            </w:pPr>
          </w:p>
        </w:tc>
        <w:tc>
          <w:tcPr>
            <w:tcW w:w="3180" w:type="dxa"/>
            <w:vAlign w:val="bottom"/>
            <w:shd w:val="clear" w:color="auto" w:fill="DFE4EA"/>
          </w:tcPr>
          <w:p>
            <w:pPr>
              <w:spacing w:after="0"/>
              <w:rPr>
                <w:sz w:val="14"/>
                <w:szCs w:val="14"/>
                <w:color w:val="auto"/>
              </w:rPr>
            </w:pPr>
          </w:p>
        </w:tc>
        <w:tc>
          <w:tcPr>
            <w:tcW w:w="1700" w:type="dxa"/>
            <w:vAlign w:val="bottom"/>
            <w:shd w:val="clear" w:color="auto" w:fill="DFE4EA"/>
          </w:tcPr>
          <w:p>
            <w:pPr>
              <w:spacing w:after="0"/>
              <w:rPr>
                <w:sz w:val="14"/>
                <w:szCs w:val="14"/>
                <w:color w:val="auto"/>
              </w:rPr>
            </w:pPr>
          </w:p>
        </w:tc>
        <w:tc>
          <w:tcPr>
            <w:tcW w:w="3440" w:type="dxa"/>
            <w:vAlign w:val="bottom"/>
            <w:shd w:val="clear" w:color="auto" w:fill="DFE4EA"/>
          </w:tcPr>
          <w:p>
            <w:pPr>
              <w:ind w:left="80"/>
              <w:spacing w:after="0"/>
              <w:rPr>
                <w:sz w:val="20"/>
                <w:szCs w:val="20"/>
                <w:color w:val="auto"/>
              </w:rPr>
            </w:pPr>
            <w:r>
              <w:rPr>
                <w:rFonts w:ascii="Arial" w:cs="Arial" w:eastAsia="Arial" w:hAnsi="Arial"/>
                <w:sz w:val="15"/>
                <w:szCs w:val="15"/>
                <w:color w:val="auto"/>
              </w:rPr>
              <w:t>PSUs are earned only if specific levels of</w:t>
            </w:r>
          </w:p>
        </w:tc>
        <w:tc>
          <w:tcPr>
            <w:tcW w:w="0" w:type="dxa"/>
            <w:vAlign w:val="bottom"/>
          </w:tcPr>
          <w:p>
            <w:pPr>
              <w:spacing w:after="0"/>
              <w:rPr>
                <w:sz w:val="1"/>
                <w:szCs w:val="1"/>
                <w:color w:val="auto"/>
              </w:rPr>
            </w:pPr>
          </w:p>
        </w:tc>
      </w:tr>
      <w:tr>
        <w:trPr>
          <w:trHeight w:val="174"/>
        </w:trPr>
        <w:tc>
          <w:tcPr>
            <w:tcW w:w="1700" w:type="dxa"/>
            <w:vAlign w:val="bottom"/>
            <w:shd w:val="clear" w:color="auto" w:fill="DFE4EA"/>
          </w:tcPr>
          <w:p>
            <w:pPr>
              <w:spacing w:after="0"/>
              <w:rPr>
                <w:sz w:val="15"/>
                <w:szCs w:val="15"/>
                <w:color w:val="auto"/>
              </w:rPr>
            </w:pPr>
          </w:p>
        </w:tc>
        <w:tc>
          <w:tcPr>
            <w:tcW w:w="3180" w:type="dxa"/>
            <w:vAlign w:val="bottom"/>
            <w:vMerge w:val="restart"/>
            <w:shd w:val="clear" w:color="auto" w:fill="DFE4EA"/>
          </w:tcPr>
          <w:p>
            <w:pPr>
              <w:ind w:left="140"/>
              <w:spacing w:after="0"/>
              <w:rPr>
                <w:sz w:val="20"/>
                <w:szCs w:val="20"/>
                <w:color w:val="auto"/>
              </w:rPr>
            </w:pPr>
            <w:r>
              <w:rPr>
                <w:rFonts w:ascii="Arial" w:cs="Arial" w:eastAsia="Arial" w:hAnsi="Arial"/>
                <w:sz w:val="15"/>
                <w:szCs w:val="15"/>
                <w:color w:val="auto"/>
              </w:rPr>
              <w:t>Encourage and reward long-term</w:t>
            </w:r>
          </w:p>
        </w:tc>
        <w:tc>
          <w:tcPr>
            <w:tcW w:w="1700" w:type="dxa"/>
            <w:vAlign w:val="bottom"/>
            <w:shd w:val="clear" w:color="auto" w:fill="DFE4EA"/>
          </w:tcPr>
          <w:p>
            <w:pPr>
              <w:spacing w:after="0"/>
              <w:rPr>
                <w:sz w:val="15"/>
                <w:szCs w:val="15"/>
                <w:color w:val="auto"/>
              </w:rPr>
            </w:pPr>
          </w:p>
        </w:tc>
        <w:tc>
          <w:tcPr>
            <w:tcW w:w="3440" w:type="dxa"/>
            <w:vAlign w:val="bottom"/>
            <w:shd w:val="clear" w:color="auto" w:fill="DFE4EA"/>
          </w:tcPr>
          <w:p>
            <w:pPr>
              <w:ind w:left="80"/>
              <w:spacing w:after="0"/>
              <w:rPr>
                <w:sz w:val="20"/>
                <w:szCs w:val="20"/>
                <w:color w:val="auto"/>
              </w:rPr>
            </w:pPr>
            <w:r>
              <w:rPr>
                <w:rFonts w:ascii="Arial" w:cs="Arial" w:eastAsia="Arial" w:hAnsi="Arial"/>
                <w:sz w:val="15"/>
                <w:szCs w:val="15"/>
                <w:color w:val="auto"/>
              </w:rPr>
              <w:t>Company performance are achieved during the</w:t>
            </w:r>
          </w:p>
        </w:tc>
        <w:tc>
          <w:tcPr>
            <w:tcW w:w="0" w:type="dxa"/>
            <w:vAlign w:val="bottom"/>
          </w:tcPr>
          <w:p>
            <w:pPr>
              <w:spacing w:after="0"/>
              <w:rPr>
                <w:sz w:val="1"/>
                <w:szCs w:val="1"/>
                <w:color w:val="auto"/>
              </w:rPr>
            </w:pPr>
          </w:p>
        </w:tc>
      </w:tr>
      <w:tr>
        <w:trPr>
          <w:trHeight w:val="81"/>
        </w:trPr>
        <w:tc>
          <w:tcPr>
            <w:tcW w:w="1700" w:type="dxa"/>
            <w:vAlign w:val="bottom"/>
            <w:shd w:val="clear" w:color="auto" w:fill="DFE4EA"/>
          </w:tcPr>
          <w:p>
            <w:pPr>
              <w:spacing w:after="0"/>
              <w:rPr>
                <w:sz w:val="7"/>
                <w:szCs w:val="7"/>
                <w:color w:val="auto"/>
              </w:rPr>
            </w:pPr>
          </w:p>
        </w:tc>
        <w:tc>
          <w:tcPr>
            <w:tcW w:w="3180" w:type="dxa"/>
            <w:vAlign w:val="bottom"/>
            <w:vMerge w:val="continue"/>
            <w:shd w:val="clear" w:color="auto" w:fill="DFE4EA"/>
          </w:tcPr>
          <w:p>
            <w:pPr>
              <w:spacing w:after="0"/>
              <w:rPr>
                <w:sz w:val="7"/>
                <w:szCs w:val="7"/>
                <w:color w:val="auto"/>
              </w:rPr>
            </w:pPr>
          </w:p>
        </w:tc>
        <w:tc>
          <w:tcPr>
            <w:tcW w:w="1700" w:type="dxa"/>
            <w:vAlign w:val="bottom"/>
            <w:shd w:val="clear" w:color="auto" w:fill="DFE4EA"/>
          </w:tcPr>
          <w:p>
            <w:pPr>
              <w:spacing w:after="0"/>
              <w:rPr>
                <w:sz w:val="7"/>
                <w:szCs w:val="7"/>
                <w:color w:val="auto"/>
              </w:rPr>
            </w:pPr>
          </w:p>
        </w:tc>
        <w:tc>
          <w:tcPr>
            <w:tcW w:w="3440" w:type="dxa"/>
            <w:vAlign w:val="bottom"/>
            <w:vMerge w:val="restart"/>
            <w:shd w:val="clear" w:color="auto" w:fill="DFE4EA"/>
          </w:tcPr>
          <w:p>
            <w:pPr>
              <w:ind w:left="80"/>
              <w:spacing w:after="0"/>
              <w:rPr>
                <w:sz w:val="20"/>
                <w:szCs w:val="20"/>
                <w:color w:val="auto"/>
              </w:rPr>
            </w:pPr>
            <w:r>
              <w:rPr>
                <w:rFonts w:ascii="Arial" w:cs="Arial" w:eastAsia="Arial" w:hAnsi="Arial"/>
                <w:sz w:val="15"/>
                <w:szCs w:val="15"/>
                <w:color w:val="auto"/>
              </w:rPr>
              <w:t>relevant performance period. For fiscal 2025,</w:t>
            </w:r>
          </w:p>
        </w:tc>
        <w:tc>
          <w:tcPr>
            <w:tcW w:w="0" w:type="dxa"/>
            <w:vAlign w:val="bottom"/>
          </w:tcPr>
          <w:p>
            <w:pPr>
              <w:spacing w:after="0"/>
              <w:rPr>
                <w:sz w:val="1"/>
                <w:szCs w:val="1"/>
                <w:color w:val="auto"/>
              </w:rPr>
            </w:pPr>
          </w:p>
        </w:tc>
      </w:tr>
      <w:tr>
        <w:trPr>
          <w:trHeight w:val="93"/>
        </w:trPr>
        <w:tc>
          <w:tcPr>
            <w:tcW w:w="1700" w:type="dxa"/>
            <w:vAlign w:val="bottom"/>
            <w:shd w:val="clear" w:color="auto" w:fill="DFE4EA"/>
          </w:tcPr>
          <w:p>
            <w:pPr>
              <w:spacing w:after="0"/>
              <w:rPr>
                <w:sz w:val="8"/>
                <w:szCs w:val="8"/>
                <w:color w:val="auto"/>
              </w:rPr>
            </w:pPr>
          </w:p>
        </w:tc>
        <w:tc>
          <w:tcPr>
            <w:tcW w:w="3180" w:type="dxa"/>
            <w:vAlign w:val="bottom"/>
            <w:vMerge w:val="restart"/>
            <w:shd w:val="clear" w:color="auto" w:fill="DFE4EA"/>
          </w:tcPr>
          <w:p>
            <w:pPr>
              <w:ind w:left="140"/>
              <w:spacing w:after="0"/>
              <w:rPr>
                <w:sz w:val="20"/>
                <w:szCs w:val="20"/>
                <w:color w:val="auto"/>
              </w:rPr>
            </w:pPr>
            <w:r>
              <w:rPr>
                <w:rFonts w:ascii="Arial" w:cs="Arial" w:eastAsia="Arial" w:hAnsi="Arial"/>
                <w:sz w:val="15"/>
                <w:szCs w:val="15"/>
                <w:color w:val="auto"/>
              </w:rPr>
              <w:t>stockholder value creation, retain highly</w:t>
            </w:r>
          </w:p>
        </w:tc>
        <w:tc>
          <w:tcPr>
            <w:tcW w:w="170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Performance Stock</w:t>
            </w:r>
          </w:p>
        </w:tc>
        <w:tc>
          <w:tcPr>
            <w:tcW w:w="3440" w:type="dxa"/>
            <w:vAlign w:val="bottom"/>
            <w:vMerge w:val="continue"/>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00" w:type="dxa"/>
            <w:vAlign w:val="bottom"/>
            <w:shd w:val="clear" w:color="auto" w:fill="DFE4EA"/>
          </w:tcPr>
          <w:p>
            <w:pPr>
              <w:spacing w:after="0"/>
              <w:rPr>
                <w:sz w:val="7"/>
                <w:szCs w:val="7"/>
                <w:color w:val="auto"/>
              </w:rPr>
            </w:pPr>
          </w:p>
        </w:tc>
        <w:tc>
          <w:tcPr>
            <w:tcW w:w="3180" w:type="dxa"/>
            <w:vAlign w:val="bottom"/>
            <w:vMerge w:val="continue"/>
            <w:shd w:val="clear" w:color="auto" w:fill="DFE4EA"/>
          </w:tcPr>
          <w:p>
            <w:pPr>
              <w:spacing w:after="0"/>
              <w:rPr>
                <w:sz w:val="7"/>
                <w:szCs w:val="7"/>
                <w:color w:val="auto"/>
              </w:rPr>
            </w:pPr>
          </w:p>
        </w:tc>
        <w:tc>
          <w:tcPr>
            <w:tcW w:w="1700" w:type="dxa"/>
            <w:vAlign w:val="bottom"/>
            <w:vMerge w:val="continue"/>
            <w:shd w:val="clear" w:color="auto" w:fill="DFE4EA"/>
          </w:tcPr>
          <w:p>
            <w:pPr>
              <w:spacing w:after="0"/>
              <w:rPr>
                <w:sz w:val="7"/>
                <w:szCs w:val="7"/>
                <w:color w:val="auto"/>
              </w:rPr>
            </w:pPr>
          </w:p>
        </w:tc>
        <w:tc>
          <w:tcPr>
            <w:tcW w:w="3440" w:type="dxa"/>
            <w:vAlign w:val="bottom"/>
            <w:vMerge w:val="restart"/>
            <w:shd w:val="clear" w:color="auto" w:fill="DFE4EA"/>
          </w:tcPr>
          <w:p>
            <w:pPr>
              <w:ind w:left="80"/>
              <w:spacing w:after="0"/>
              <w:rPr>
                <w:sz w:val="20"/>
                <w:szCs w:val="20"/>
                <w:color w:val="auto"/>
              </w:rPr>
            </w:pPr>
            <w:r>
              <w:rPr>
                <w:rFonts w:ascii="Arial" w:cs="Arial" w:eastAsia="Arial" w:hAnsi="Arial"/>
                <w:sz w:val="15"/>
                <w:szCs w:val="15"/>
                <w:color w:val="auto"/>
              </w:rPr>
              <w:t>annual PSU payouts were based 50% on entire-</w:t>
            </w:r>
          </w:p>
        </w:tc>
        <w:tc>
          <w:tcPr>
            <w:tcW w:w="0" w:type="dxa"/>
            <w:vAlign w:val="bottom"/>
          </w:tcPr>
          <w:p>
            <w:pPr>
              <w:spacing w:after="0"/>
              <w:rPr>
                <w:sz w:val="1"/>
                <w:szCs w:val="1"/>
                <w:color w:val="auto"/>
              </w:rPr>
            </w:pPr>
          </w:p>
        </w:tc>
      </w:tr>
      <w:tr>
        <w:trPr>
          <w:trHeight w:val="93"/>
        </w:trPr>
        <w:tc>
          <w:tcPr>
            <w:tcW w:w="1700" w:type="dxa"/>
            <w:vAlign w:val="bottom"/>
            <w:vMerge w:val="restart"/>
            <w:shd w:val="clear" w:color="auto" w:fill="DFE4EA"/>
          </w:tcPr>
          <w:p>
            <w:pPr>
              <w:ind w:left="40"/>
              <w:spacing w:after="0"/>
              <w:rPr>
                <w:sz w:val="20"/>
                <w:szCs w:val="20"/>
                <w:color w:val="auto"/>
              </w:rPr>
            </w:pPr>
            <w:r>
              <w:rPr>
                <w:rFonts w:ascii="Arial" w:cs="Arial" w:eastAsia="Arial" w:hAnsi="Arial"/>
                <w:sz w:val="15"/>
                <w:szCs w:val="15"/>
                <w:color w:val="auto"/>
              </w:rPr>
              <w:t>Long-Term Incentive –</w:t>
            </w:r>
          </w:p>
        </w:tc>
        <w:tc>
          <w:tcPr>
            <w:tcW w:w="3180" w:type="dxa"/>
            <w:vAlign w:val="bottom"/>
            <w:vMerge w:val="restart"/>
            <w:shd w:val="clear" w:color="auto" w:fill="DFE4EA"/>
          </w:tcPr>
          <w:p>
            <w:pPr>
              <w:ind w:left="140"/>
              <w:spacing w:after="0"/>
              <w:rPr>
                <w:sz w:val="20"/>
                <w:szCs w:val="20"/>
                <w:color w:val="auto"/>
              </w:rPr>
            </w:pPr>
            <w:r>
              <w:rPr>
                <w:rFonts w:ascii="Arial" w:cs="Arial" w:eastAsia="Arial" w:hAnsi="Arial"/>
                <w:sz w:val="15"/>
                <w:szCs w:val="15"/>
                <w:color w:val="auto"/>
              </w:rPr>
              <w:t>capable executive officer talent, and</w:t>
            </w:r>
          </w:p>
        </w:tc>
        <w:tc>
          <w:tcPr>
            <w:tcW w:w="170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Units</w:t>
            </w:r>
          </w:p>
        </w:tc>
        <w:tc>
          <w:tcPr>
            <w:tcW w:w="3440" w:type="dxa"/>
            <w:vAlign w:val="bottom"/>
            <w:vMerge w:val="continue"/>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DFE4EA"/>
          </w:tcPr>
          <w:p>
            <w:pPr>
              <w:spacing w:after="0"/>
              <w:rPr>
                <w:sz w:val="7"/>
                <w:szCs w:val="7"/>
                <w:color w:val="auto"/>
              </w:rPr>
            </w:pPr>
          </w:p>
        </w:tc>
        <w:tc>
          <w:tcPr>
            <w:tcW w:w="3180" w:type="dxa"/>
            <w:vAlign w:val="bottom"/>
            <w:vMerge w:val="continue"/>
            <w:shd w:val="clear" w:color="auto" w:fill="DFE4EA"/>
          </w:tcPr>
          <w:p>
            <w:pPr>
              <w:spacing w:after="0"/>
              <w:rPr>
                <w:sz w:val="7"/>
                <w:szCs w:val="7"/>
                <w:color w:val="auto"/>
              </w:rPr>
            </w:pPr>
          </w:p>
        </w:tc>
        <w:tc>
          <w:tcPr>
            <w:tcW w:w="1700" w:type="dxa"/>
            <w:vAlign w:val="bottom"/>
            <w:vMerge w:val="continue"/>
            <w:shd w:val="clear" w:color="auto" w:fill="DFE4EA"/>
          </w:tcPr>
          <w:p>
            <w:pPr>
              <w:spacing w:after="0"/>
              <w:rPr>
                <w:sz w:val="7"/>
                <w:szCs w:val="7"/>
                <w:color w:val="auto"/>
              </w:rPr>
            </w:pPr>
          </w:p>
        </w:tc>
        <w:tc>
          <w:tcPr>
            <w:tcW w:w="3440" w:type="dxa"/>
            <w:vAlign w:val="bottom"/>
            <w:vMerge w:val="restart"/>
            <w:shd w:val="clear" w:color="auto" w:fill="DFE4EA"/>
          </w:tcPr>
          <w:p>
            <w:pPr>
              <w:ind w:left="80"/>
              <w:spacing w:after="0"/>
              <w:rPr>
                <w:sz w:val="20"/>
                <w:szCs w:val="20"/>
                <w:color w:val="auto"/>
              </w:rPr>
            </w:pPr>
            <w:r>
              <w:rPr>
                <w:rFonts w:ascii="Arial" w:cs="Arial" w:eastAsia="Arial" w:hAnsi="Arial"/>
                <w:sz w:val="15"/>
                <w:szCs w:val="15"/>
                <w:color w:val="auto"/>
              </w:rPr>
              <w:t>year constant currency revenue growth during</w:t>
            </w:r>
          </w:p>
        </w:tc>
        <w:tc>
          <w:tcPr>
            <w:tcW w:w="0" w:type="dxa"/>
            <w:vAlign w:val="bottom"/>
          </w:tcPr>
          <w:p>
            <w:pPr>
              <w:spacing w:after="0"/>
              <w:rPr>
                <w:sz w:val="1"/>
                <w:szCs w:val="1"/>
                <w:color w:val="auto"/>
              </w:rPr>
            </w:pPr>
          </w:p>
        </w:tc>
      </w:tr>
      <w:tr>
        <w:trPr>
          <w:trHeight w:val="93"/>
        </w:trPr>
        <w:tc>
          <w:tcPr>
            <w:tcW w:w="1700" w:type="dxa"/>
            <w:vAlign w:val="bottom"/>
            <w:vMerge w:val="restart"/>
            <w:shd w:val="clear" w:color="auto" w:fill="DFE4EA"/>
          </w:tcPr>
          <w:p>
            <w:pPr>
              <w:ind w:left="40"/>
              <w:spacing w:after="0"/>
              <w:rPr>
                <w:sz w:val="20"/>
                <w:szCs w:val="20"/>
                <w:color w:val="auto"/>
              </w:rPr>
            </w:pPr>
            <w:r>
              <w:rPr>
                <w:rFonts w:ascii="Arial" w:cs="Arial" w:eastAsia="Arial" w:hAnsi="Arial"/>
                <w:sz w:val="15"/>
                <w:szCs w:val="15"/>
                <w:color w:val="auto"/>
              </w:rPr>
              <w:t>Annual Equity</w:t>
            </w:r>
          </w:p>
        </w:tc>
        <w:tc>
          <w:tcPr>
            <w:tcW w:w="3180" w:type="dxa"/>
            <w:vAlign w:val="bottom"/>
            <w:vMerge w:val="restart"/>
            <w:shd w:val="clear" w:color="auto" w:fill="DFE4EA"/>
          </w:tcPr>
          <w:p>
            <w:pPr>
              <w:ind w:left="140"/>
              <w:spacing w:after="0"/>
              <w:rPr>
                <w:sz w:val="20"/>
                <w:szCs w:val="20"/>
                <w:color w:val="auto"/>
              </w:rPr>
            </w:pPr>
            <w:r>
              <w:rPr>
                <w:rFonts w:ascii="Arial" w:cs="Arial" w:eastAsia="Arial" w:hAnsi="Arial"/>
                <w:sz w:val="15"/>
                <w:szCs w:val="15"/>
                <w:color w:val="auto"/>
              </w:rPr>
              <w:t>facilitate long-term stock ownership among</w:t>
            </w:r>
          </w:p>
        </w:tc>
        <w:tc>
          <w:tcPr>
            <w:tcW w:w="1700" w:type="dxa"/>
            <w:vAlign w:val="bottom"/>
            <w:shd w:val="clear" w:color="auto" w:fill="DFE4EA"/>
          </w:tcPr>
          <w:p>
            <w:pPr>
              <w:spacing w:after="0"/>
              <w:rPr>
                <w:sz w:val="8"/>
                <w:szCs w:val="8"/>
                <w:color w:val="auto"/>
              </w:rPr>
            </w:pPr>
          </w:p>
        </w:tc>
        <w:tc>
          <w:tcPr>
            <w:tcW w:w="3440" w:type="dxa"/>
            <w:vAlign w:val="bottom"/>
            <w:vMerge w:val="continue"/>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DFE4EA"/>
          </w:tcPr>
          <w:p>
            <w:pPr>
              <w:spacing w:after="0"/>
              <w:rPr>
                <w:sz w:val="7"/>
                <w:szCs w:val="7"/>
                <w:color w:val="auto"/>
              </w:rPr>
            </w:pPr>
          </w:p>
        </w:tc>
        <w:tc>
          <w:tcPr>
            <w:tcW w:w="3180" w:type="dxa"/>
            <w:vAlign w:val="bottom"/>
            <w:vMerge w:val="continue"/>
            <w:shd w:val="clear" w:color="auto" w:fill="DFE4EA"/>
          </w:tcPr>
          <w:p>
            <w:pPr>
              <w:spacing w:after="0"/>
              <w:rPr>
                <w:sz w:val="7"/>
                <w:szCs w:val="7"/>
                <w:color w:val="auto"/>
              </w:rPr>
            </w:pPr>
          </w:p>
        </w:tc>
        <w:tc>
          <w:tcPr>
            <w:tcW w:w="1700" w:type="dxa"/>
            <w:vAlign w:val="bottom"/>
            <w:shd w:val="clear" w:color="auto" w:fill="DFE4EA"/>
          </w:tcPr>
          <w:p>
            <w:pPr>
              <w:spacing w:after="0"/>
              <w:rPr>
                <w:sz w:val="7"/>
                <w:szCs w:val="7"/>
                <w:color w:val="auto"/>
              </w:rPr>
            </w:pPr>
          </w:p>
        </w:tc>
        <w:tc>
          <w:tcPr>
            <w:tcW w:w="3440" w:type="dxa"/>
            <w:vAlign w:val="bottom"/>
            <w:vMerge w:val="restart"/>
            <w:shd w:val="clear" w:color="auto" w:fill="DFE4EA"/>
          </w:tcPr>
          <w:p>
            <w:pPr>
              <w:ind w:left="80"/>
              <w:spacing w:after="0"/>
              <w:rPr>
                <w:sz w:val="20"/>
                <w:szCs w:val="20"/>
                <w:color w:val="auto"/>
              </w:rPr>
            </w:pPr>
            <w:r>
              <w:rPr>
                <w:rFonts w:ascii="Arial" w:cs="Arial" w:eastAsia="Arial" w:hAnsi="Arial"/>
                <w:sz w:val="15"/>
                <w:szCs w:val="15"/>
                <w:color w:val="auto"/>
              </w:rPr>
              <w:t>2025 and 50% on entire-year constant currency</w:t>
            </w:r>
          </w:p>
        </w:tc>
        <w:tc>
          <w:tcPr>
            <w:tcW w:w="0" w:type="dxa"/>
            <w:vAlign w:val="bottom"/>
          </w:tcPr>
          <w:p>
            <w:pPr>
              <w:spacing w:after="0"/>
              <w:rPr>
                <w:sz w:val="1"/>
                <w:szCs w:val="1"/>
                <w:color w:val="auto"/>
              </w:rPr>
            </w:pPr>
          </w:p>
        </w:tc>
      </w:tr>
      <w:tr>
        <w:trPr>
          <w:trHeight w:val="154"/>
        </w:trPr>
        <w:tc>
          <w:tcPr>
            <w:tcW w:w="1700" w:type="dxa"/>
            <w:vAlign w:val="bottom"/>
            <w:shd w:val="clear" w:color="auto" w:fill="DFE4EA"/>
          </w:tcPr>
          <w:p>
            <w:pPr>
              <w:spacing w:after="0"/>
              <w:rPr>
                <w:sz w:val="13"/>
                <w:szCs w:val="13"/>
                <w:color w:val="auto"/>
              </w:rPr>
            </w:pPr>
          </w:p>
        </w:tc>
        <w:tc>
          <w:tcPr>
            <w:tcW w:w="3180" w:type="dxa"/>
            <w:vAlign w:val="bottom"/>
            <w:shd w:val="clear" w:color="auto" w:fill="DFE4EA"/>
          </w:tcPr>
          <w:p>
            <w:pPr>
              <w:ind w:left="140"/>
              <w:spacing w:after="0" w:line="154" w:lineRule="exact"/>
              <w:rPr>
                <w:sz w:val="20"/>
                <w:szCs w:val="20"/>
                <w:color w:val="auto"/>
              </w:rPr>
            </w:pPr>
            <w:r>
              <w:rPr>
                <w:rFonts w:ascii="Arial" w:cs="Arial" w:eastAsia="Arial" w:hAnsi="Arial"/>
                <w:sz w:val="15"/>
                <w:szCs w:val="15"/>
                <w:color w:val="auto"/>
              </w:rPr>
              <w:t>our executive officer team to further align</w:t>
            </w:r>
          </w:p>
        </w:tc>
        <w:tc>
          <w:tcPr>
            <w:tcW w:w="1700" w:type="dxa"/>
            <w:vAlign w:val="bottom"/>
            <w:shd w:val="clear" w:color="auto" w:fill="DFE4EA"/>
          </w:tcPr>
          <w:p>
            <w:pPr>
              <w:jc w:val="center"/>
              <w:spacing w:after="0" w:line="154" w:lineRule="exact"/>
              <w:rPr>
                <w:sz w:val="20"/>
                <w:szCs w:val="20"/>
                <w:color w:val="auto"/>
              </w:rPr>
            </w:pPr>
            <w:r>
              <w:rPr>
                <w:rFonts w:ascii="Arial" w:cs="Arial" w:eastAsia="Arial" w:hAnsi="Arial"/>
                <w:sz w:val="15"/>
                <w:szCs w:val="15"/>
                <w:color w:val="auto"/>
              </w:rPr>
              <w:t>Restricted Stock Units</w:t>
            </w:r>
          </w:p>
        </w:tc>
        <w:tc>
          <w:tcPr>
            <w:tcW w:w="3440" w:type="dxa"/>
            <w:vAlign w:val="bottom"/>
            <w:vMerge w:val="continue"/>
            <w:shd w:val="clear" w:color="auto" w:fill="DFE4EA"/>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700" w:type="dxa"/>
            <w:vAlign w:val="bottom"/>
            <w:shd w:val="clear" w:color="auto" w:fill="DFE4EA"/>
          </w:tcPr>
          <w:p>
            <w:pPr>
              <w:spacing w:after="0"/>
              <w:rPr>
                <w:sz w:val="9"/>
                <w:szCs w:val="9"/>
                <w:color w:val="auto"/>
              </w:rPr>
            </w:pPr>
          </w:p>
        </w:tc>
        <w:tc>
          <w:tcPr>
            <w:tcW w:w="3180" w:type="dxa"/>
            <w:vAlign w:val="bottom"/>
            <w:vMerge w:val="restart"/>
            <w:shd w:val="clear" w:color="auto" w:fill="DFE4EA"/>
          </w:tcPr>
          <w:p>
            <w:pPr>
              <w:ind w:left="140"/>
              <w:spacing w:after="0"/>
              <w:rPr>
                <w:sz w:val="20"/>
                <w:szCs w:val="20"/>
                <w:color w:val="auto"/>
              </w:rPr>
            </w:pPr>
            <w:r>
              <w:rPr>
                <w:rFonts w:ascii="Arial" w:cs="Arial" w:eastAsia="Arial" w:hAnsi="Arial"/>
                <w:sz w:val="15"/>
                <w:szCs w:val="15"/>
                <w:color w:val="auto"/>
              </w:rPr>
              <w:t>executive officer and stockholder interests.</w:t>
            </w:r>
          </w:p>
        </w:tc>
        <w:tc>
          <w:tcPr>
            <w:tcW w:w="1700" w:type="dxa"/>
            <w:vAlign w:val="bottom"/>
            <w:shd w:val="clear" w:color="auto" w:fill="DFE4EA"/>
          </w:tcPr>
          <w:p>
            <w:pPr>
              <w:spacing w:after="0"/>
              <w:rPr>
                <w:sz w:val="9"/>
                <w:szCs w:val="9"/>
                <w:color w:val="auto"/>
              </w:rPr>
            </w:pPr>
          </w:p>
        </w:tc>
        <w:tc>
          <w:tcPr>
            <w:tcW w:w="3440" w:type="dxa"/>
            <w:vAlign w:val="bottom"/>
            <w:shd w:val="clear" w:color="auto" w:fill="DFE4EA"/>
          </w:tcPr>
          <w:p>
            <w:pPr>
              <w:ind w:left="80"/>
              <w:spacing w:after="0" w:line="113" w:lineRule="exact"/>
              <w:rPr>
                <w:sz w:val="20"/>
                <w:szCs w:val="20"/>
                <w:color w:val="auto"/>
              </w:rPr>
            </w:pPr>
            <w:r>
              <w:rPr>
                <w:rFonts w:ascii="Arial" w:cs="Arial" w:eastAsia="Arial" w:hAnsi="Arial"/>
                <w:sz w:val="13"/>
                <w:szCs w:val="13"/>
                <w:color w:val="auto"/>
              </w:rPr>
              <w:t>adjusted EBITDA growth during 2025, up to a</w:t>
            </w:r>
          </w:p>
        </w:tc>
        <w:tc>
          <w:tcPr>
            <w:tcW w:w="0" w:type="dxa"/>
            <w:vAlign w:val="bottom"/>
          </w:tcPr>
          <w:p>
            <w:pPr>
              <w:spacing w:after="0"/>
              <w:rPr>
                <w:sz w:val="1"/>
                <w:szCs w:val="1"/>
                <w:color w:val="auto"/>
              </w:rPr>
            </w:pPr>
          </w:p>
        </w:tc>
      </w:tr>
      <w:tr>
        <w:trPr>
          <w:trHeight w:val="111"/>
        </w:trPr>
        <w:tc>
          <w:tcPr>
            <w:tcW w:w="1700" w:type="dxa"/>
            <w:vAlign w:val="bottom"/>
            <w:shd w:val="clear" w:color="auto" w:fill="DFE4EA"/>
          </w:tcPr>
          <w:p>
            <w:pPr>
              <w:spacing w:after="0"/>
              <w:rPr>
                <w:sz w:val="9"/>
                <w:szCs w:val="9"/>
                <w:color w:val="auto"/>
              </w:rPr>
            </w:pPr>
          </w:p>
        </w:tc>
        <w:tc>
          <w:tcPr>
            <w:tcW w:w="3180" w:type="dxa"/>
            <w:vAlign w:val="bottom"/>
            <w:vMerge w:val="continue"/>
            <w:shd w:val="clear" w:color="auto" w:fill="DFE4EA"/>
          </w:tcPr>
          <w:p>
            <w:pPr>
              <w:spacing w:after="0"/>
              <w:rPr>
                <w:sz w:val="9"/>
                <w:szCs w:val="9"/>
                <w:color w:val="auto"/>
              </w:rPr>
            </w:pPr>
          </w:p>
        </w:tc>
        <w:tc>
          <w:tcPr>
            <w:tcW w:w="1700" w:type="dxa"/>
            <w:vAlign w:val="bottom"/>
            <w:shd w:val="clear" w:color="auto" w:fill="DFE4EA"/>
          </w:tcPr>
          <w:p>
            <w:pPr>
              <w:spacing w:after="0"/>
              <w:rPr>
                <w:sz w:val="9"/>
                <w:szCs w:val="9"/>
                <w:color w:val="auto"/>
              </w:rPr>
            </w:pPr>
          </w:p>
        </w:tc>
        <w:tc>
          <w:tcPr>
            <w:tcW w:w="3440" w:type="dxa"/>
            <w:vAlign w:val="bottom"/>
            <w:vMerge w:val="restart"/>
            <w:shd w:val="clear" w:color="auto" w:fill="DFE4EA"/>
          </w:tcPr>
          <w:p>
            <w:pPr>
              <w:ind w:left="80"/>
              <w:spacing w:after="0"/>
              <w:rPr>
                <w:sz w:val="20"/>
                <w:szCs w:val="20"/>
                <w:color w:val="auto"/>
              </w:rPr>
            </w:pPr>
            <w:r>
              <w:rPr>
                <w:rFonts w:ascii="Arial" w:cs="Arial" w:eastAsia="Arial" w:hAnsi="Arial"/>
                <w:sz w:val="15"/>
                <w:szCs w:val="15"/>
                <w:color w:val="auto"/>
              </w:rPr>
              <w:t>cap of 200% for each individual metric and</w:t>
            </w:r>
          </w:p>
        </w:tc>
        <w:tc>
          <w:tcPr>
            <w:tcW w:w="0" w:type="dxa"/>
            <w:vAlign w:val="bottom"/>
          </w:tcPr>
          <w:p>
            <w:pPr>
              <w:spacing w:after="0"/>
              <w:rPr>
                <w:sz w:val="1"/>
                <w:szCs w:val="1"/>
                <w:color w:val="auto"/>
              </w:rPr>
            </w:pPr>
          </w:p>
        </w:tc>
      </w:tr>
      <w:tr>
        <w:trPr>
          <w:trHeight w:val="63"/>
        </w:trPr>
        <w:tc>
          <w:tcPr>
            <w:tcW w:w="1700" w:type="dxa"/>
            <w:vAlign w:val="bottom"/>
            <w:shd w:val="clear" w:color="auto" w:fill="DFE4EA"/>
          </w:tcPr>
          <w:p>
            <w:pPr>
              <w:spacing w:after="0"/>
              <w:rPr>
                <w:sz w:val="5"/>
                <w:szCs w:val="5"/>
                <w:color w:val="auto"/>
              </w:rPr>
            </w:pPr>
          </w:p>
        </w:tc>
        <w:tc>
          <w:tcPr>
            <w:tcW w:w="3180" w:type="dxa"/>
            <w:vAlign w:val="bottom"/>
            <w:shd w:val="clear" w:color="auto" w:fill="DFE4EA"/>
          </w:tcPr>
          <w:p>
            <w:pPr>
              <w:spacing w:after="0"/>
              <w:rPr>
                <w:sz w:val="5"/>
                <w:szCs w:val="5"/>
                <w:color w:val="auto"/>
              </w:rPr>
            </w:pPr>
          </w:p>
        </w:tc>
        <w:tc>
          <w:tcPr>
            <w:tcW w:w="1700" w:type="dxa"/>
            <w:vAlign w:val="bottom"/>
            <w:shd w:val="clear" w:color="auto" w:fill="DFE4EA"/>
          </w:tcPr>
          <w:p>
            <w:pPr>
              <w:spacing w:after="0"/>
              <w:rPr>
                <w:sz w:val="5"/>
                <w:szCs w:val="5"/>
                <w:color w:val="auto"/>
              </w:rPr>
            </w:pPr>
          </w:p>
        </w:tc>
        <w:tc>
          <w:tcPr>
            <w:tcW w:w="3440" w:type="dxa"/>
            <w:vAlign w:val="bottom"/>
            <w:vMerge w:val="continue"/>
            <w:shd w:val="clear" w:color="auto" w:fill="DFE4EA"/>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DFE4EA"/>
          </w:tcPr>
          <w:p>
            <w:pPr>
              <w:spacing w:after="0"/>
              <w:rPr>
                <w:sz w:val="18"/>
                <w:szCs w:val="18"/>
                <w:color w:val="auto"/>
              </w:rPr>
            </w:pPr>
          </w:p>
        </w:tc>
        <w:tc>
          <w:tcPr>
            <w:tcW w:w="3180" w:type="dxa"/>
            <w:vAlign w:val="bottom"/>
            <w:shd w:val="clear" w:color="auto" w:fill="DFE4EA"/>
          </w:tcPr>
          <w:p>
            <w:pPr>
              <w:spacing w:after="0"/>
              <w:rPr>
                <w:sz w:val="18"/>
                <w:szCs w:val="18"/>
                <w:color w:val="auto"/>
              </w:rPr>
            </w:pPr>
          </w:p>
        </w:tc>
        <w:tc>
          <w:tcPr>
            <w:tcW w:w="1700" w:type="dxa"/>
            <w:vAlign w:val="bottom"/>
            <w:shd w:val="clear" w:color="auto" w:fill="DFE4EA"/>
          </w:tcPr>
          <w:p>
            <w:pPr>
              <w:spacing w:after="0"/>
              <w:rPr>
                <w:sz w:val="18"/>
                <w:szCs w:val="18"/>
                <w:color w:val="auto"/>
              </w:rPr>
            </w:pPr>
          </w:p>
        </w:tc>
        <w:tc>
          <w:tcPr>
            <w:tcW w:w="3440" w:type="dxa"/>
            <w:vAlign w:val="bottom"/>
            <w:shd w:val="clear" w:color="auto" w:fill="DFE4EA"/>
          </w:tcPr>
          <w:p>
            <w:pPr>
              <w:ind w:left="80"/>
              <w:spacing w:after="0"/>
              <w:rPr>
                <w:sz w:val="20"/>
                <w:szCs w:val="20"/>
                <w:color w:val="auto"/>
              </w:rPr>
            </w:pPr>
            <w:r>
              <w:rPr>
                <w:rFonts w:ascii="Arial" w:cs="Arial" w:eastAsia="Arial" w:hAnsi="Arial"/>
                <w:sz w:val="15"/>
                <w:szCs w:val="15"/>
                <w:color w:val="auto"/>
              </w:rPr>
              <w:t>overall.</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20"/>
          </w:cols>
          <w:pgMar w:left="980" w:top="87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9"/>
          <w:szCs w:val="19"/>
          <w:b w:val="1"/>
          <w:bCs w:val="1"/>
          <w:color w:val="2B4B74"/>
        </w:rPr>
        <w:t>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The Committee approves the primary components of the executive officer compensation program and generally intends for it to provide more variable pay opportunities than fixed pay opportunities and to place significant weight on long-term incentive opportunities. The Committee believes that this results in a pay program that aligns pay and performance. The following table summarizes the original target pay mix for the NEOs for fiscal 2025 as determined by the Committee in February 2025.</w:t>
      </w:r>
    </w:p>
    <w:p>
      <w:pPr>
        <w:spacing w:after="0" w:line="132" w:lineRule="exact"/>
        <w:rPr>
          <w:sz w:val="20"/>
          <w:szCs w:val="20"/>
          <w:color w:val="auto"/>
        </w:rPr>
      </w:pPr>
    </w:p>
    <w:p>
      <w:pPr>
        <w:ind w:left="1440"/>
        <w:spacing w:after="0"/>
        <w:tabs>
          <w:tab w:leader="none" w:pos="5100" w:val="left"/>
          <w:tab w:leader="none" w:pos="6160" w:val="left"/>
          <w:tab w:leader="none" w:pos="7220" w:val="left"/>
          <w:tab w:leader="none" w:pos="8160" w:val="left"/>
          <w:tab w:leader="none" w:pos="9200" w:val="left"/>
        </w:tabs>
        <w:rPr>
          <w:sz w:val="20"/>
          <w:szCs w:val="20"/>
          <w:color w:val="auto"/>
        </w:rPr>
      </w:pPr>
      <w:r>
        <w:rPr>
          <w:rFonts w:ascii="Arial" w:cs="Arial" w:eastAsia="Arial" w:hAnsi="Arial"/>
          <w:sz w:val="15"/>
          <w:szCs w:val="15"/>
          <w:b w:val="1"/>
          <w:bCs w:val="1"/>
          <w:color w:val="auto"/>
        </w:rPr>
        <w:t>Compensation Component</w:t>
      </w:r>
      <w:r>
        <w:rPr>
          <w:sz w:val="20"/>
          <w:szCs w:val="20"/>
          <w:color w:val="auto"/>
        </w:rPr>
        <w:tab/>
      </w:r>
      <w:r>
        <w:rPr>
          <w:rFonts w:ascii="Arial" w:cs="Arial" w:eastAsia="Arial" w:hAnsi="Arial"/>
          <w:sz w:val="15"/>
          <w:szCs w:val="15"/>
          <w:b w:val="1"/>
          <w:bCs w:val="1"/>
          <w:color w:val="auto"/>
        </w:rPr>
        <w:t>Mackin</w:t>
      </w:r>
      <w:r>
        <w:rPr>
          <w:sz w:val="20"/>
          <w:szCs w:val="20"/>
          <w:color w:val="auto"/>
        </w:rPr>
        <w:tab/>
      </w:r>
      <w:r>
        <w:rPr>
          <w:rFonts w:ascii="Arial" w:cs="Arial" w:eastAsia="Arial" w:hAnsi="Arial"/>
          <w:sz w:val="15"/>
          <w:szCs w:val="15"/>
          <w:b w:val="1"/>
          <w:bCs w:val="1"/>
          <w:color w:val="auto"/>
        </w:rPr>
        <w:t>Berry</w:t>
      </w:r>
      <w:r>
        <w:rPr>
          <w:sz w:val="20"/>
          <w:szCs w:val="20"/>
          <w:color w:val="auto"/>
        </w:rPr>
        <w:tab/>
      </w:r>
      <w:r>
        <w:rPr>
          <w:rFonts w:ascii="Arial" w:cs="Arial" w:eastAsia="Arial" w:hAnsi="Arial"/>
          <w:sz w:val="15"/>
          <w:szCs w:val="15"/>
          <w:b w:val="1"/>
          <w:bCs w:val="1"/>
          <w:color w:val="auto"/>
        </w:rPr>
        <w:t>Davis</w:t>
      </w:r>
      <w:r>
        <w:rPr>
          <w:sz w:val="20"/>
          <w:szCs w:val="20"/>
          <w:color w:val="auto"/>
        </w:rPr>
        <w:tab/>
      </w:r>
      <w:r>
        <w:rPr>
          <w:rFonts w:ascii="Arial" w:cs="Arial" w:eastAsia="Arial" w:hAnsi="Arial"/>
          <w:sz w:val="15"/>
          <w:szCs w:val="15"/>
          <w:b w:val="1"/>
          <w:bCs w:val="1"/>
          <w:color w:val="auto"/>
        </w:rPr>
        <w:t>Holloway</w:t>
      </w:r>
      <w:r>
        <w:rPr>
          <w:sz w:val="20"/>
          <w:szCs w:val="20"/>
          <w:color w:val="auto"/>
        </w:rPr>
        <w:tab/>
      </w:r>
      <w:r>
        <w:rPr>
          <w:rFonts w:ascii="Arial" w:cs="Arial" w:eastAsia="Arial" w:hAnsi="Arial"/>
          <w:sz w:val="15"/>
          <w:szCs w:val="15"/>
          <w:b w:val="1"/>
          <w:bCs w:val="1"/>
          <w:color w:val="auto"/>
        </w:rPr>
        <w:t>Stanton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6356350" cy="169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6350" cy="16954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Salary ($)</w:t>
      </w:r>
      <w:r>
        <w:rPr>
          <w:rFonts w:ascii="Arial" w:cs="Arial" w:eastAsia="Arial" w:hAnsi="Arial"/>
          <w:sz w:val="24"/>
          <w:szCs w:val="24"/>
          <w:color w:val="auto"/>
          <w:vertAlign w:val="superscript"/>
        </w:rPr>
        <w:t>(1)</w:t>
      </w:r>
    </w:p>
    <w:p>
      <w:pPr>
        <w:spacing w:after="0" w:line="211" w:lineRule="auto"/>
        <w:rPr>
          <w:sz w:val="20"/>
          <w:szCs w:val="20"/>
          <w:color w:val="auto"/>
        </w:rPr>
      </w:pPr>
      <w:r>
        <w:rPr>
          <w:rFonts w:ascii="Arial" w:cs="Arial" w:eastAsia="Arial" w:hAnsi="Arial"/>
          <w:sz w:val="15"/>
          <w:szCs w:val="15"/>
          <w:color w:val="auto"/>
        </w:rPr>
        <w:t>Short-Term Incentive (at target) ($)</w:t>
      </w:r>
      <w:r>
        <w:rPr>
          <w:rFonts w:ascii="Arial" w:cs="Arial" w:eastAsia="Arial" w:hAnsi="Arial"/>
          <w:sz w:val="24"/>
          <w:szCs w:val="24"/>
          <w:color w:val="auto"/>
          <w:vertAlign w:val="superscript"/>
        </w:rPr>
        <w:t>(2)</w:t>
      </w:r>
    </w:p>
    <w:p>
      <w:pPr>
        <w:spacing w:after="0" w:line="185" w:lineRule="auto"/>
        <w:rPr>
          <w:sz w:val="20"/>
          <w:szCs w:val="20"/>
          <w:color w:val="auto"/>
        </w:rPr>
      </w:pPr>
      <w:r>
        <w:rPr>
          <w:rFonts w:ascii="Arial" w:cs="Arial" w:eastAsia="Arial" w:hAnsi="Arial"/>
          <w:sz w:val="15"/>
          <w:szCs w:val="15"/>
          <w:color w:val="auto"/>
        </w:rPr>
        <w:t>Long-Term Incentive</w:t>
      </w:r>
      <w:r>
        <w:rPr>
          <w:rFonts w:ascii="Arial" w:cs="Arial" w:eastAsia="Arial" w:hAnsi="Arial"/>
          <w:sz w:val="23"/>
          <w:szCs w:val="23"/>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Annual Equity (Grant Date Fair Value at target)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jc w:val="right"/>
              <w:ind w:right="83"/>
              <w:spacing w:after="0"/>
              <w:rPr>
                <w:sz w:val="20"/>
                <w:szCs w:val="20"/>
                <w:color w:val="auto"/>
              </w:rPr>
            </w:pPr>
            <w:r>
              <w:rPr>
                <w:rFonts w:ascii="Arial" w:cs="Arial" w:eastAsia="Arial" w:hAnsi="Arial"/>
                <w:sz w:val="15"/>
                <w:szCs w:val="15"/>
                <w:color w:val="auto"/>
              </w:rPr>
              <w:t>835,145</w:t>
            </w:r>
          </w:p>
        </w:tc>
        <w:tc>
          <w:tcPr>
            <w:tcW w:w="1140" w:type="dxa"/>
            <w:vAlign w:val="bottom"/>
          </w:tcPr>
          <w:p>
            <w:pPr>
              <w:jc w:val="center"/>
              <w:spacing w:after="0"/>
              <w:rPr>
                <w:sz w:val="20"/>
                <w:szCs w:val="20"/>
                <w:color w:val="auto"/>
              </w:rPr>
            </w:pPr>
            <w:r>
              <w:rPr>
                <w:rFonts w:ascii="Arial" w:cs="Arial" w:eastAsia="Arial" w:hAnsi="Arial"/>
                <w:sz w:val="15"/>
                <w:szCs w:val="15"/>
                <w:color w:val="auto"/>
              </w:rPr>
              <w:t>526,377</w:t>
            </w:r>
            <w:r>
              <w:rPr>
                <w:rFonts w:ascii="Arial" w:cs="Arial" w:eastAsia="Arial" w:hAnsi="Arial"/>
                <w:sz w:val="16"/>
                <w:szCs w:val="16"/>
                <w:color w:val="auto"/>
              </w:rPr>
              <w:t>​</w:t>
            </w:r>
          </w:p>
        </w:tc>
        <w:tc>
          <w:tcPr>
            <w:tcW w:w="1000" w:type="dxa"/>
            <w:vAlign w:val="bottom"/>
          </w:tcPr>
          <w:p>
            <w:pPr>
              <w:jc w:val="right"/>
              <w:ind w:right="83"/>
              <w:spacing w:after="0"/>
              <w:rPr>
                <w:sz w:val="20"/>
                <w:szCs w:val="20"/>
                <w:color w:val="auto"/>
              </w:rPr>
            </w:pPr>
            <w:r>
              <w:rPr>
                <w:rFonts w:ascii="Arial" w:cs="Arial" w:eastAsia="Arial" w:hAnsi="Arial"/>
                <w:sz w:val="15"/>
                <w:szCs w:val="15"/>
                <w:color w:val="auto"/>
              </w:rPr>
              <w:t>441,095</w:t>
            </w:r>
          </w:p>
        </w:tc>
        <w:tc>
          <w:tcPr>
            <w:tcW w:w="1060" w:type="dxa"/>
            <w:vAlign w:val="bottom"/>
          </w:tcPr>
          <w:p>
            <w:pPr>
              <w:jc w:val="right"/>
              <w:ind w:right="143"/>
              <w:spacing w:after="0"/>
              <w:rPr>
                <w:sz w:val="20"/>
                <w:szCs w:val="20"/>
                <w:color w:val="auto"/>
              </w:rPr>
            </w:pPr>
            <w:r>
              <w:rPr>
                <w:rFonts w:ascii="Arial" w:cs="Arial" w:eastAsia="Arial" w:hAnsi="Arial"/>
                <w:sz w:val="15"/>
                <w:szCs w:val="15"/>
                <w:color w:val="auto"/>
              </w:rPr>
              <w:t>438,408</w:t>
            </w:r>
          </w:p>
        </w:tc>
        <w:tc>
          <w:tcPr>
            <w:tcW w:w="780" w:type="dxa"/>
            <w:vAlign w:val="bottom"/>
          </w:tcPr>
          <w:p>
            <w:pPr>
              <w:jc w:val="right"/>
              <w:spacing w:after="0"/>
              <w:rPr>
                <w:sz w:val="20"/>
                <w:szCs w:val="20"/>
                <w:color w:val="auto"/>
              </w:rPr>
            </w:pPr>
            <w:r>
              <w:rPr>
                <w:rFonts w:ascii="Arial" w:cs="Arial" w:eastAsia="Arial" w:hAnsi="Arial"/>
                <w:sz w:val="15"/>
                <w:szCs w:val="15"/>
                <w:color w:val="auto"/>
              </w:rPr>
              <w:t>443,929</w:t>
            </w:r>
          </w:p>
        </w:tc>
      </w:tr>
      <w:tr>
        <w:trPr>
          <w:trHeight w:val="230"/>
        </w:trPr>
        <w:tc>
          <w:tcPr>
            <w:tcW w:w="840" w:type="dxa"/>
            <w:vAlign w:val="bottom"/>
          </w:tcPr>
          <w:p>
            <w:pPr>
              <w:jc w:val="right"/>
              <w:ind w:right="83"/>
              <w:spacing w:after="0"/>
              <w:rPr>
                <w:sz w:val="20"/>
                <w:szCs w:val="20"/>
                <w:color w:val="auto"/>
              </w:rPr>
            </w:pPr>
            <w:r>
              <w:rPr>
                <w:rFonts w:ascii="Arial" w:cs="Arial" w:eastAsia="Arial" w:hAnsi="Arial"/>
                <w:sz w:val="15"/>
                <w:szCs w:val="15"/>
                <w:color w:val="auto"/>
              </w:rPr>
              <w:t>835,145</w:t>
            </w:r>
          </w:p>
        </w:tc>
        <w:tc>
          <w:tcPr>
            <w:tcW w:w="1140" w:type="dxa"/>
            <w:vAlign w:val="bottom"/>
          </w:tcPr>
          <w:p>
            <w:pPr>
              <w:jc w:val="center"/>
              <w:spacing w:after="0"/>
              <w:rPr>
                <w:sz w:val="20"/>
                <w:szCs w:val="20"/>
                <w:color w:val="auto"/>
              </w:rPr>
            </w:pPr>
            <w:r>
              <w:rPr>
                <w:rFonts w:ascii="Arial" w:cs="Arial" w:eastAsia="Arial" w:hAnsi="Arial"/>
                <w:sz w:val="15"/>
                <w:szCs w:val="15"/>
                <w:color w:val="auto"/>
              </w:rPr>
              <w:t>337,130</w:t>
            </w:r>
            <w:r>
              <w:rPr>
                <w:rFonts w:ascii="Arial" w:cs="Arial" w:eastAsia="Arial" w:hAnsi="Arial"/>
                <w:sz w:val="16"/>
                <w:szCs w:val="16"/>
                <w:color w:val="auto"/>
              </w:rPr>
              <w:t>​</w:t>
            </w:r>
          </w:p>
        </w:tc>
        <w:tc>
          <w:tcPr>
            <w:tcW w:w="1000" w:type="dxa"/>
            <w:vAlign w:val="bottom"/>
          </w:tcPr>
          <w:p>
            <w:pPr>
              <w:jc w:val="right"/>
              <w:ind w:right="83"/>
              <w:spacing w:after="0"/>
              <w:rPr>
                <w:sz w:val="20"/>
                <w:szCs w:val="20"/>
                <w:color w:val="auto"/>
              </w:rPr>
            </w:pPr>
            <w:r>
              <w:rPr>
                <w:rFonts w:ascii="Arial" w:cs="Arial" w:eastAsia="Arial" w:hAnsi="Arial"/>
                <w:sz w:val="15"/>
                <w:szCs w:val="15"/>
                <w:color w:val="auto"/>
              </w:rPr>
              <w:t>220,548</w:t>
            </w:r>
          </w:p>
        </w:tc>
        <w:tc>
          <w:tcPr>
            <w:tcW w:w="1060" w:type="dxa"/>
            <w:vAlign w:val="bottom"/>
          </w:tcPr>
          <w:p>
            <w:pPr>
              <w:jc w:val="right"/>
              <w:ind w:right="143"/>
              <w:spacing w:after="0"/>
              <w:rPr>
                <w:sz w:val="20"/>
                <w:szCs w:val="20"/>
                <w:color w:val="auto"/>
              </w:rPr>
            </w:pPr>
            <w:r>
              <w:rPr>
                <w:rFonts w:ascii="Arial" w:cs="Arial" w:eastAsia="Arial" w:hAnsi="Arial"/>
                <w:sz w:val="15"/>
                <w:szCs w:val="15"/>
                <w:color w:val="auto"/>
              </w:rPr>
              <w:t>219,204</w:t>
            </w:r>
          </w:p>
        </w:tc>
        <w:tc>
          <w:tcPr>
            <w:tcW w:w="780" w:type="dxa"/>
            <w:vAlign w:val="bottom"/>
          </w:tcPr>
          <w:p>
            <w:pPr>
              <w:jc w:val="right"/>
              <w:spacing w:after="0"/>
              <w:rPr>
                <w:sz w:val="20"/>
                <w:szCs w:val="20"/>
                <w:color w:val="auto"/>
              </w:rPr>
            </w:pPr>
            <w:r>
              <w:rPr>
                <w:rFonts w:ascii="Arial" w:cs="Arial" w:eastAsia="Arial" w:hAnsi="Arial"/>
                <w:sz w:val="15"/>
                <w:szCs w:val="15"/>
                <w:color w:val="auto"/>
              </w:rPr>
              <w:t>221,964</w:t>
            </w:r>
          </w:p>
        </w:tc>
      </w:tr>
      <w:tr>
        <w:trPr>
          <w:trHeight w:val="332"/>
        </w:trPr>
        <w:tc>
          <w:tcPr>
            <w:tcW w:w="840" w:type="dxa"/>
            <w:vAlign w:val="bottom"/>
          </w:tcPr>
          <w:p>
            <w:pPr>
              <w:jc w:val="right"/>
              <w:ind w:right="83"/>
              <w:spacing w:after="0"/>
              <w:rPr>
                <w:sz w:val="20"/>
                <w:szCs w:val="20"/>
                <w:color w:val="auto"/>
              </w:rPr>
            </w:pPr>
            <w:r>
              <w:rPr>
                <w:rFonts w:ascii="Arial" w:cs="Arial" w:eastAsia="Arial" w:hAnsi="Arial"/>
                <w:sz w:val="15"/>
                <w:szCs w:val="15"/>
                <w:color w:val="auto"/>
                <w:w w:val="98"/>
              </w:rPr>
              <w:t>5,007,000</w:t>
            </w:r>
          </w:p>
        </w:tc>
        <w:tc>
          <w:tcPr>
            <w:tcW w:w="1140" w:type="dxa"/>
            <w:vAlign w:val="bottom"/>
          </w:tcPr>
          <w:p>
            <w:pPr>
              <w:jc w:val="center"/>
              <w:spacing w:after="0"/>
              <w:rPr>
                <w:sz w:val="20"/>
                <w:szCs w:val="20"/>
                <w:color w:val="auto"/>
              </w:rPr>
            </w:pPr>
            <w:r>
              <w:rPr>
                <w:rFonts w:ascii="Arial" w:cs="Arial" w:eastAsia="Arial" w:hAnsi="Arial"/>
                <w:sz w:val="15"/>
                <w:szCs w:val="15"/>
                <w:color w:val="auto"/>
                <w:w w:val="97"/>
              </w:rPr>
              <w:t>1,960,000</w:t>
            </w:r>
            <w:r>
              <w:rPr>
                <w:rFonts w:ascii="Arial" w:cs="Arial" w:eastAsia="Arial" w:hAnsi="Arial"/>
                <w:sz w:val="24"/>
                <w:szCs w:val="24"/>
                <w:color w:val="auto"/>
                <w:w w:val="97"/>
                <w:vertAlign w:val="superscript"/>
              </w:rPr>
              <w:t>(8)</w:t>
            </w:r>
          </w:p>
        </w:tc>
        <w:tc>
          <w:tcPr>
            <w:tcW w:w="1000" w:type="dxa"/>
            <w:vAlign w:val="bottom"/>
          </w:tcPr>
          <w:p>
            <w:pPr>
              <w:jc w:val="right"/>
              <w:ind w:right="83"/>
              <w:spacing w:after="0"/>
              <w:rPr>
                <w:sz w:val="20"/>
                <w:szCs w:val="20"/>
                <w:color w:val="auto"/>
              </w:rPr>
            </w:pPr>
            <w:r>
              <w:rPr>
                <w:rFonts w:ascii="Arial" w:cs="Arial" w:eastAsia="Arial" w:hAnsi="Arial"/>
                <w:sz w:val="15"/>
                <w:szCs w:val="15"/>
                <w:color w:val="auto"/>
              </w:rPr>
              <w:t>1,235,000</w:t>
            </w:r>
          </w:p>
        </w:tc>
        <w:tc>
          <w:tcPr>
            <w:tcW w:w="1060" w:type="dxa"/>
            <w:vAlign w:val="bottom"/>
          </w:tcPr>
          <w:p>
            <w:pPr>
              <w:jc w:val="right"/>
              <w:ind w:right="143"/>
              <w:spacing w:after="0"/>
              <w:rPr>
                <w:sz w:val="20"/>
                <w:szCs w:val="20"/>
                <w:color w:val="auto"/>
              </w:rPr>
            </w:pPr>
            <w:r>
              <w:rPr>
                <w:rFonts w:ascii="Arial" w:cs="Arial" w:eastAsia="Arial" w:hAnsi="Arial"/>
                <w:sz w:val="15"/>
                <w:szCs w:val="15"/>
                <w:color w:val="auto"/>
              </w:rPr>
              <w:t>1,190,000</w:t>
            </w:r>
          </w:p>
        </w:tc>
        <w:tc>
          <w:tcPr>
            <w:tcW w:w="780" w:type="dxa"/>
            <w:vAlign w:val="bottom"/>
          </w:tcPr>
          <w:p>
            <w:pPr>
              <w:jc w:val="right"/>
              <w:spacing w:after="0"/>
              <w:rPr>
                <w:sz w:val="20"/>
                <w:szCs w:val="20"/>
                <w:color w:val="auto"/>
              </w:rPr>
            </w:pPr>
            <w:r>
              <w:rPr>
                <w:rFonts w:ascii="Arial" w:cs="Arial" w:eastAsia="Arial" w:hAnsi="Arial"/>
                <w:sz w:val="15"/>
                <w:szCs w:val="15"/>
                <w:color w:val="auto"/>
              </w:rPr>
              <w:t>935,000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-212090</wp:posOffset>
            </wp:positionV>
            <wp:extent cx="6356350" cy="272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56350" cy="27241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4480" w:space="720"/>
            <w:col w:w="4820"/>
          </w:cols>
          <w:pgMar w:left="980" w:top="870" w:right="89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Target Total Direct Compensation ($)</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6,667,290</w:t>
            </w:r>
          </w:p>
        </w:tc>
        <w:tc>
          <w:tcPr>
            <w:tcW w:w="114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b w:val="1"/>
                <w:bCs w:val="1"/>
                <w:color w:val="auto"/>
              </w:rPr>
              <w:t>2,823,507</w:t>
            </w: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1,896,643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1,847,612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1,600,893</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5"/>
        </w:trPr>
        <w:tc>
          <w:tcPr>
            <w:tcW w:w="5040" w:type="dxa"/>
            <w:vAlign w:val="bottom"/>
          </w:tcPr>
          <w:p>
            <w:pPr>
              <w:ind w:left="4880"/>
              <w:spacing w:after="0"/>
              <w:rPr>
                <w:sz w:val="20"/>
                <w:szCs w:val="20"/>
                <w:color w:val="auto"/>
              </w:rPr>
            </w:pPr>
            <w:r>
              <w:rPr>
                <w:rFonts w:ascii="Arial" w:cs="Arial" w:eastAsia="Arial" w:hAnsi="Arial"/>
                <w:sz w:val="9"/>
                <w:szCs w:val="9"/>
                <w:color w:val="auto"/>
              </w:rPr>
              <w:t>​</w:t>
            </w:r>
          </w:p>
        </w:tc>
        <w:tc>
          <w:tcPr>
            <w:tcW w:w="1000" w:type="dxa"/>
            <w:vAlign w:val="bottom"/>
          </w:tcPr>
          <w:p>
            <w:pPr>
              <w:jc w:val="right"/>
              <w:ind w:right="68"/>
              <w:spacing w:after="0"/>
              <w:rPr>
                <w:sz w:val="20"/>
                <w:szCs w:val="20"/>
                <w:color w:val="auto"/>
              </w:rPr>
            </w:pPr>
            <w:r>
              <w:rPr>
                <w:rFonts w:ascii="Arial" w:cs="Arial" w:eastAsia="Arial" w:hAnsi="Arial"/>
                <w:sz w:val="9"/>
                <w:szCs w:val="9"/>
                <w:color w:val="auto"/>
              </w:rPr>
              <w:t>​</w:t>
            </w:r>
          </w:p>
        </w:tc>
        <w:tc>
          <w:tcPr>
            <w:tcW w:w="1140" w:type="dxa"/>
            <w:vAlign w:val="bottom"/>
          </w:tcPr>
          <w:p>
            <w:pPr>
              <w:jc w:val="right"/>
              <w:ind w:right="77"/>
              <w:spacing w:after="0"/>
              <w:rPr>
                <w:sz w:val="20"/>
                <w:szCs w:val="20"/>
                <w:color w:val="auto"/>
              </w:rPr>
            </w:pPr>
            <w:r>
              <w:rPr>
                <w:rFonts w:ascii="Arial" w:cs="Arial" w:eastAsia="Arial" w:hAnsi="Arial"/>
                <w:sz w:val="9"/>
                <w:szCs w:val="9"/>
                <w:color w:val="auto"/>
              </w:rPr>
              <w:t>​   ​</w:t>
            </w:r>
          </w:p>
        </w:tc>
        <w:tc>
          <w:tcPr>
            <w:tcW w:w="840" w:type="dxa"/>
            <w:vAlign w:val="bottom"/>
          </w:tcPr>
          <w:p>
            <w:pPr>
              <w:spacing w:after="0"/>
              <w:rPr>
                <w:sz w:val="16"/>
                <w:szCs w:val="16"/>
                <w:color w:val="auto"/>
              </w:rPr>
            </w:pPr>
          </w:p>
        </w:tc>
        <w:tc>
          <w:tcPr>
            <w:tcW w:w="1000" w:type="dxa"/>
            <w:vAlign w:val="bottom"/>
          </w:tcPr>
          <w:p>
            <w:pPr>
              <w:jc w:val="right"/>
              <w:ind w:right="915"/>
              <w:spacing w:after="0"/>
              <w:rPr>
                <w:sz w:val="20"/>
                <w:szCs w:val="20"/>
                <w:color w:val="auto"/>
              </w:rPr>
            </w:pPr>
            <w:r>
              <w:rPr>
                <w:rFonts w:ascii="Arial" w:cs="Arial" w:eastAsia="Arial" w:hAnsi="Arial"/>
                <w:sz w:val="1"/>
                <w:szCs w:val="1"/>
                <w:color w:val="auto"/>
                <w:w w:val="4294942296"/>
              </w:rPr>
              <w:t>​</w:t>
            </w:r>
          </w:p>
        </w:tc>
        <w:tc>
          <w:tcPr>
            <w:tcW w:w="1000" w:type="dxa"/>
            <w:vAlign w:val="bottom"/>
          </w:tcPr>
          <w:p>
            <w:pPr>
              <w:jc w:val="right"/>
              <w:ind w:right="915"/>
              <w:spacing w:after="0"/>
              <w:rPr>
                <w:sz w:val="20"/>
                <w:szCs w:val="20"/>
                <w:color w:val="auto"/>
              </w:rPr>
            </w:pPr>
            <w:r>
              <w:rPr>
                <w:rFonts w:ascii="Arial" w:cs="Arial" w:eastAsia="Arial" w:hAnsi="Arial"/>
                <w:sz w:val="1"/>
                <w:szCs w:val="1"/>
                <w:color w:val="auto"/>
                <w:w w:val="4294942296"/>
              </w:rPr>
              <w:t>​</w:t>
            </w:r>
          </w:p>
        </w:tc>
      </w:tr>
      <w:tr>
        <w:trPr>
          <w:trHeight w:val="186"/>
        </w:trPr>
        <w:tc>
          <w:tcPr>
            <w:tcW w:w="5040" w:type="dxa"/>
            <w:vAlign w:val="bottom"/>
            <w:shd w:val="clear" w:color="auto" w:fill="DFE4EA"/>
          </w:tcPr>
          <w:p>
            <w:pPr>
              <w:spacing w:after="0" w:line="186" w:lineRule="exact"/>
              <w:rPr>
                <w:sz w:val="20"/>
                <w:szCs w:val="20"/>
                <w:color w:val="auto"/>
              </w:rPr>
            </w:pPr>
            <w:r>
              <w:rPr>
                <w:rFonts w:ascii="Arial" w:cs="Arial" w:eastAsia="Arial" w:hAnsi="Arial"/>
                <w:sz w:val="14"/>
                <w:szCs w:val="14"/>
                <w:color w:val="auto"/>
              </w:rPr>
              <w:t>% Fixed</w:t>
            </w:r>
            <w:r>
              <w:rPr>
                <w:rFonts w:ascii="Arial" w:cs="Arial" w:eastAsia="Arial" w:hAnsi="Arial"/>
                <w:sz w:val="21"/>
                <w:szCs w:val="21"/>
                <w:color w:val="auto"/>
                <w:vertAlign w:val="superscript"/>
              </w:rPr>
              <w:t>(4)</w:t>
            </w:r>
          </w:p>
        </w:tc>
        <w:tc>
          <w:tcPr>
            <w:tcW w:w="1000" w:type="dxa"/>
            <w:vAlign w:val="bottom"/>
            <w:shd w:val="clear" w:color="auto" w:fill="DFE4EA"/>
          </w:tcPr>
          <w:p>
            <w:pPr>
              <w:jc w:val="right"/>
              <w:ind w:right="88"/>
              <w:spacing w:after="0"/>
              <w:rPr>
                <w:sz w:val="20"/>
                <w:szCs w:val="20"/>
                <w:color w:val="auto"/>
              </w:rPr>
            </w:pPr>
            <w:r>
              <w:rPr>
                <w:rFonts w:ascii="Arial" w:cs="Arial" w:eastAsia="Arial" w:hAnsi="Arial"/>
                <w:sz w:val="15"/>
                <w:szCs w:val="15"/>
                <w:color w:val="auto"/>
              </w:rPr>
              <w:t>12.5</w:t>
            </w:r>
          </w:p>
        </w:tc>
        <w:tc>
          <w:tcPr>
            <w:tcW w:w="1140" w:type="dxa"/>
            <w:vAlign w:val="bottom"/>
            <w:shd w:val="clear" w:color="auto" w:fill="DFE4EA"/>
          </w:tcPr>
          <w:p>
            <w:pPr>
              <w:jc w:val="right"/>
              <w:ind w:right="237"/>
              <w:spacing w:after="0"/>
              <w:rPr>
                <w:sz w:val="20"/>
                <w:szCs w:val="20"/>
                <w:color w:val="auto"/>
              </w:rPr>
            </w:pPr>
            <w:r>
              <w:rPr>
                <w:rFonts w:ascii="Arial" w:cs="Arial" w:eastAsia="Arial" w:hAnsi="Arial"/>
                <w:sz w:val="15"/>
                <w:szCs w:val="15"/>
                <w:color w:val="auto"/>
              </w:rPr>
              <w:t>18.6</w:t>
            </w:r>
          </w:p>
        </w:tc>
        <w:tc>
          <w:tcPr>
            <w:tcW w:w="840" w:type="dxa"/>
            <w:vAlign w:val="bottom"/>
            <w:shd w:val="clear" w:color="auto" w:fill="DFE4EA"/>
          </w:tcPr>
          <w:p>
            <w:pPr>
              <w:jc w:val="right"/>
              <w:spacing w:after="0"/>
              <w:rPr>
                <w:sz w:val="20"/>
                <w:szCs w:val="20"/>
                <w:color w:val="auto"/>
              </w:rPr>
            </w:pPr>
            <w:r>
              <w:rPr>
                <w:rFonts w:ascii="Arial" w:cs="Arial" w:eastAsia="Arial" w:hAnsi="Arial"/>
                <w:sz w:val="15"/>
                <w:szCs w:val="15"/>
                <w:color w:val="auto"/>
              </w:rPr>
              <w:t>23.3</w:t>
            </w:r>
          </w:p>
        </w:tc>
        <w:tc>
          <w:tcPr>
            <w:tcW w:w="1000" w:type="dxa"/>
            <w:vAlign w:val="bottom"/>
            <w:shd w:val="clear" w:color="auto" w:fill="DFE4EA"/>
          </w:tcPr>
          <w:p>
            <w:pPr>
              <w:jc w:val="right"/>
              <w:spacing w:after="0"/>
              <w:rPr>
                <w:sz w:val="20"/>
                <w:szCs w:val="20"/>
                <w:color w:val="auto"/>
              </w:rPr>
            </w:pPr>
            <w:r>
              <w:rPr>
                <w:rFonts w:ascii="Arial" w:cs="Arial" w:eastAsia="Arial" w:hAnsi="Arial"/>
                <w:sz w:val="15"/>
                <w:szCs w:val="15"/>
                <w:color w:val="auto"/>
              </w:rPr>
              <w:t>23.7</w:t>
            </w:r>
          </w:p>
        </w:tc>
        <w:tc>
          <w:tcPr>
            <w:tcW w:w="1000" w:type="dxa"/>
            <w:vAlign w:val="bottom"/>
            <w:shd w:val="clear" w:color="auto" w:fill="DFE4EA"/>
          </w:tcPr>
          <w:p>
            <w:pPr>
              <w:jc w:val="right"/>
              <w:spacing w:after="0"/>
              <w:rPr>
                <w:sz w:val="20"/>
                <w:szCs w:val="20"/>
                <w:color w:val="auto"/>
              </w:rPr>
            </w:pPr>
            <w:r>
              <w:rPr>
                <w:rFonts w:ascii="Arial" w:cs="Arial" w:eastAsia="Arial" w:hAnsi="Arial"/>
                <w:sz w:val="15"/>
                <w:szCs w:val="15"/>
                <w:color w:val="auto"/>
              </w:rPr>
              <w:t>27.7</w:t>
            </w:r>
          </w:p>
        </w:tc>
      </w:tr>
      <w:tr>
        <w:trPr>
          <w:trHeight w:val="58"/>
        </w:trPr>
        <w:tc>
          <w:tcPr>
            <w:tcW w:w="5040" w:type="dxa"/>
            <w:vAlign w:val="bottom"/>
            <w:shd w:val="clear" w:color="auto" w:fill="DFE4EA"/>
          </w:tcPr>
          <w:p>
            <w:pPr>
              <w:spacing w:after="0"/>
              <w:rPr>
                <w:sz w:val="5"/>
                <w:szCs w:val="5"/>
                <w:color w:val="auto"/>
              </w:rPr>
            </w:pPr>
          </w:p>
        </w:tc>
        <w:tc>
          <w:tcPr>
            <w:tcW w:w="1000" w:type="dxa"/>
            <w:vAlign w:val="bottom"/>
            <w:shd w:val="clear" w:color="auto" w:fill="DFE4EA"/>
          </w:tcPr>
          <w:p>
            <w:pPr>
              <w:spacing w:after="0"/>
              <w:rPr>
                <w:sz w:val="5"/>
                <w:szCs w:val="5"/>
                <w:color w:val="auto"/>
              </w:rPr>
            </w:pPr>
          </w:p>
        </w:tc>
        <w:tc>
          <w:tcPr>
            <w:tcW w:w="1140" w:type="dxa"/>
            <w:vAlign w:val="bottom"/>
            <w:shd w:val="clear" w:color="auto" w:fill="DFE4EA"/>
          </w:tcPr>
          <w:p>
            <w:pPr>
              <w:jc w:val="right"/>
              <w:ind w:right="197"/>
              <w:spacing w:after="0" w:line="58" w:lineRule="exact"/>
              <w:rPr>
                <w:sz w:val="20"/>
                <w:szCs w:val="20"/>
                <w:color w:val="auto"/>
              </w:rPr>
            </w:pPr>
            <w:r>
              <w:rPr>
                <w:rFonts w:ascii="Arial" w:cs="Arial" w:eastAsia="Arial" w:hAnsi="Arial"/>
                <w:sz w:val="6"/>
                <w:szCs w:val="6"/>
                <w:color w:val="auto"/>
              </w:rPr>
              <w:t>​</w:t>
            </w:r>
          </w:p>
        </w:tc>
        <w:tc>
          <w:tcPr>
            <w:tcW w:w="840" w:type="dxa"/>
            <w:vAlign w:val="bottom"/>
            <w:shd w:val="clear" w:color="auto" w:fill="DFE4EA"/>
          </w:tcPr>
          <w:p>
            <w:pPr>
              <w:spacing w:after="0"/>
              <w:rPr>
                <w:sz w:val="5"/>
                <w:szCs w:val="5"/>
                <w:color w:val="auto"/>
              </w:rPr>
            </w:pPr>
          </w:p>
        </w:tc>
        <w:tc>
          <w:tcPr>
            <w:tcW w:w="1000" w:type="dxa"/>
            <w:vAlign w:val="bottom"/>
            <w:shd w:val="clear" w:color="auto" w:fill="DFE4EA"/>
          </w:tcPr>
          <w:p>
            <w:pPr>
              <w:spacing w:after="0"/>
              <w:rPr>
                <w:sz w:val="5"/>
                <w:szCs w:val="5"/>
                <w:color w:val="auto"/>
              </w:rPr>
            </w:pPr>
          </w:p>
        </w:tc>
        <w:tc>
          <w:tcPr>
            <w:tcW w:w="1000" w:type="dxa"/>
            <w:vAlign w:val="bottom"/>
            <w:shd w:val="clear" w:color="auto" w:fill="DFE4EA"/>
          </w:tcPr>
          <w:p>
            <w:pPr>
              <w:spacing w:after="0"/>
              <w:rPr>
                <w:sz w:val="5"/>
                <w:szCs w:val="5"/>
                <w:color w:val="auto"/>
              </w:rPr>
            </w:pPr>
          </w:p>
        </w:tc>
      </w:tr>
      <w:tr>
        <w:trPr>
          <w:trHeight w:val="244"/>
        </w:trPr>
        <w:tc>
          <w:tcPr>
            <w:tcW w:w="5040" w:type="dxa"/>
            <w:vAlign w:val="bottom"/>
          </w:tcPr>
          <w:p>
            <w:pPr>
              <w:spacing w:after="0" w:line="243" w:lineRule="exact"/>
              <w:rPr>
                <w:sz w:val="20"/>
                <w:szCs w:val="20"/>
                <w:color w:val="auto"/>
              </w:rPr>
            </w:pPr>
            <w:r>
              <w:rPr>
                <w:rFonts w:ascii="Arial" w:cs="Arial" w:eastAsia="Arial" w:hAnsi="Arial"/>
                <w:sz w:val="15"/>
                <w:szCs w:val="15"/>
                <w:color w:val="auto"/>
              </w:rPr>
              <w:t>% Variable</w:t>
            </w:r>
            <w:r>
              <w:rPr>
                <w:rFonts w:ascii="Arial" w:cs="Arial" w:eastAsia="Arial" w:hAnsi="Arial"/>
                <w:sz w:val="24"/>
                <w:szCs w:val="24"/>
                <w:color w:val="auto"/>
                <w:vertAlign w:val="superscript"/>
              </w:rPr>
              <w:t>(5)</w:t>
            </w:r>
          </w:p>
        </w:tc>
        <w:tc>
          <w:tcPr>
            <w:tcW w:w="1000" w:type="dxa"/>
            <w:vAlign w:val="bottom"/>
          </w:tcPr>
          <w:p>
            <w:pPr>
              <w:jc w:val="right"/>
              <w:ind w:right="88"/>
              <w:spacing w:after="0"/>
              <w:rPr>
                <w:sz w:val="20"/>
                <w:szCs w:val="20"/>
                <w:color w:val="auto"/>
              </w:rPr>
            </w:pPr>
            <w:r>
              <w:rPr>
                <w:rFonts w:ascii="Arial" w:cs="Arial" w:eastAsia="Arial" w:hAnsi="Arial"/>
                <w:sz w:val="15"/>
                <w:szCs w:val="15"/>
                <w:color w:val="auto"/>
              </w:rPr>
              <w:t>87.5</w:t>
            </w:r>
          </w:p>
        </w:tc>
        <w:tc>
          <w:tcPr>
            <w:tcW w:w="1140" w:type="dxa"/>
            <w:vAlign w:val="bottom"/>
          </w:tcPr>
          <w:p>
            <w:pPr>
              <w:jc w:val="right"/>
              <w:ind w:right="197"/>
              <w:spacing w:after="0"/>
              <w:rPr>
                <w:sz w:val="20"/>
                <w:szCs w:val="20"/>
                <w:color w:val="auto"/>
              </w:rPr>
            </w:pPr>
            <w:r>
              <w:rPr>
                <w:rFonts w:ascii="Arial" w:cs="Arial" w:eastAsia="Arial" w:hAnsi="Arial"/>
                <w:sz w:val="15"/>
                <w:szCs w:val="15"/>
                <w:color w:val="auto"/>
              </w:rPr>
              <w:t>81.4</w:t>
            </w: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76.7</w:t>
            </w:r>
          </w:p>
        </w:tc>
        <w:tc>
          <w:tcPr>
            <w:tcW w:w="1000" w:type="dxa"/>
            <w:vAlign w:val="bottom"/>
          </w:tcPr>
          <w:p>
            <w:pPr>
              <w:jc w:val="right"/>
              <w:spacing w:after="0"/>
              <w:rPr>
                <w:sz w:val="20"/>
                <w:szCs w:val="20"/>
                <w:color w:val="auto"/>
              </w:rPr>
            </w:pPr>
            <w:r>
              <w:rPr>
                <w:rFonts w:ascii="Arial" w:cs="Arial" w:eastAsia="Arial" w:hAnsi="Arial"/>
                <w:sz w:val="15"/>
                <w:szCs w:val="15"/>
                <w:color w:val="auto"/>
              </w:rPr>
              <w:t>76.3</w:t>
            </w:r>
          </w:p>
        </w:tc>
        <w:tc>
          <w:tcPr>
            <w:tcW w:w="1000" w:type="dxa"/>
            <w:vAlign w:val="bottom"/>
          </w:tcPr>
          <w:p>
            <w:pPr>
              <w:jc w:val="right"/>
              <w:spacing w:after="0"/>
              <w:rPr>
                <w:sz w:val="20"/>
                <w:szCs w:val="20"/>
                <w:color w:val="auto"/>
              </w:rPr>
            </w:pPr>
            <w:r>
              <w:rPr>
                <w:rFonts w:ascii="Arial" w:cs="Arial" w:eastAsia="Arial" w:hAnsi="Arial"/>
                <w:sz w:val="15"/>
                <w:szCs w:val="15"/>
                <w:color w:val="auto"/>
              </w:rPr>
              <w:t>72.3</w:t>
            </w:r>
          </w:p>
        </w:tc>
      </w:tr>
      <w:tr>
        <w:trPr>
          <w:trHeight w:val="186"/>
        </w:trPr>
        <w:tc>
          <w:tcPr>
            <w:tcW w:w="5040" w:type="dxa"/>
            <w:vAlign w:val="bottom"/>
            <w:shd w:val="clear" w:color="auto" w:fill="DFE4EA"/>
          </w:tcPr>
          <w:p>
            <w:pPr>
              <w:spacing w:after="0" w:line="186" w:lineRule="exact"/>
              <w:rPr>
                <w:sz w:val="20"/>
                <w:szCs w:val="20"/>
                <w:color w:val="auto"/>
              </w:rPr>
            </w:pPr>
            <w:r>
              <w:rPr>
                <w:rFonts w:ascii="Arial" w:cs="Arial" w:eastAsia="Arial" w:hAnsi="Arial"/>
                <w:sz w:val="14"/>
                <w:szCs w:val="14"/>
                <w:color w:val="auto"/>
              </w:rPr>
              <w:t>% Short-Term Compensation</w:t>
            </w:r>
            <w:r>
              <w:rPr>
                <w:rFonts w:ascii="Arial" w:cs="Arial" w:eastAsia="Arial" w:hAnsi="Arial"/>
                <w:sz w:val="21"/>
                <w:szCs w:val="21"/>
                <w:color w:val="auto"/>
                <w:vertAlign w:val="superscript"/>
              </w:rPr>
              <w:t>(6)</w:t>
            </w:r>
          </w:p>
        </w:tc>
        <w:tc>
          <w:tcPr>
            <w:tcW w:w="1000" w:type="dxa"/>
            <w:vAlign w:val="bottom"/>
            <w:shd w:val="clear" w:color="auto" w:fill="DFE4EA"/>
          </w:tcPr>
          <w:p>
            <w:pPr>
              <w:jc w:val="right"/>
              <w:ind w:right="88"/>
              <w:spacing w:after="0"/>
              <w:rPr>
                <w:sz w:val="20"/>
                <w:szCs w:val="20"/>
                <w:color w:val="auto"/>
              </w:rPr>
            </w:pPr>
            <w:r>
              <w:rPr>
                <w:rFonts w:ascii="Arial" w:cs="Arial" w:eastAsia="Arial" w:hAnsi="Arial"/>
                <w:sz w:val="15"/>
                <w:szCs w:val="15"/>
                <w:color w:val="auto"/>
              </w:rPr>
              <w:t>25.0</w:t>
            </w:r>
          </w:p>
        </w:tc>
        <w:tc>
          <w:tcPr>
            <w:tcW w:w="1140" w:type="dxa"/>
            <w:vAlign w:val="bottom"/>
            <w:shd w:val="clear" w:color="auto" w:fill="DFE4EA"/>
          </w:tcPr>
          <w:p>
            <w:pPr>
              <w:jc w:val="right"/>
              <w:ind w:right="237"/>
              <w:spacing w:after="0"/>
              <w:rPr>
                <w:sz w:val="20"/>
                <w:szCs w:val="20"/>
                <w:color w:val="auto"/>
              </w:rPr>
            </w:pPr>
            <w:r>
              <w:rPr>
                <w:rFonts w:ascii="Arial" w:cs="Arial" w:eastAsia="Arial" w:hAnsi="Arial"/>
                <w:sz w:val="15"/>
                <w:szCs w:val="15"/>
                <w:color w:val="auto"/>
              </w:rPr>
              <w:t>30.6</w:t>
            </w:r>
          </w:p>
        </w:tc>
        <w:tc>
          <w:tcPr>
            <w:tcW w:w="840" w:type="dxa"/>
            <w:vAlign w:val="bottom"/>
            <w:shd w:val="clear" w:color="auto" w:fill="DFE4EA"/>
          </w:tcPr>
          <w:p>
            <w:pPr>
              <w:jc w:val="right"/>
              <w:spacing w:after="0"/>
              <w:rPr>
                <w:sz w:val="20"/>
                <w:szCs w:val="20"/>
                <w:color w:val="auto"/>
              </w:rPr>
            </w:pPr>
            <w:r>
              <w:rPr>
                <w:rFonts w:ascii="Arial" w:cs="Arial" w:eastAsia="Arial" w:hAnsi="Arial"/>
                <w:sz w:val="15"/>
                <w:szCs w:val="15"/>
                <w:color w:val="auto"/>
              </w:rPr>
              <w:t>34.9</w:t>
            </w:r>
          </w:p>
        </w:tc>
        <w:tc>
          <w:tcPr>
            <w:tcW w:w="1000" w:type="dxa"/>
            <w:vAlign w:val="bottom"/>
            <w:shd w:val="clear" w:color="auto" w:fill="DFE4EA"/>
          </w:tcPr>
          <w:p>
            <w:pPr>
              <w:jc w:val="right"/>
              <w:spacing w:after="0"/>
              <w:rPr>
                <w:sz w:val="20"/>
                <w:szCs w:val="20"/>
                <w:color w:val="auto"/>
              </w:rPr>
            </w:pPr>
            <w:r>
              <w:rPr>
                <w:rFonts w:ascii="Arial" w:cs="Arial" w:eastAsia="Arial" w:hAnsi="Arial"/>
                <w:sz w:val="15"/>
                <w:szCs w:val="15"/>
                <w:color w:val="auto"/>
              </w:rPr>
              <w:t>35.6</w:t>
            </w:r>
          </w:p>
        </w:tc>
        <w:tc>
          <w:tcPr>
            <w:tcW w:w="1000" w:type="dxa"/>
            <w:vAlign w:val="bottom"/>
            <w:shd w:val="clear" w:color="auto" w:fill="DFE4EA"/>
          </w:tcPr>
          <w:p>
            <w:pPr>
              <w:jc w:val="right"/>
              <w:spacing w:after="0"/>
              <w:rPr>
                <w:sz w:val="20"/>
                <w:szCs w:val="20"/>
                <w:color w:val="auto"/>
              </w:rPr>
            </w:pPr>
            <w:r>
              <w:rPr>
                <w:rFonts w:ascii="Arial" w:cs="Arial" w:eastAsia="Arial" w:hAnsi="Arial"/>
                <w:sz w:val="15"/>
                <w:szCs w:val="15"/>
                <w:color w:val="auto"/>
              </w:rPr>
              <w:t>41.6</w:t>
            </w:r>
          </w:p>
        </w:tc>
      </w:tr>
      <w:tr>
        <w:trPr>
          <w:trHeight w:val="58"/>
        </w:trPr>
        <w:tc>
          <w:tcPr>
            <w:tcW w:w="5040" w:type="dxa"/>
            <w:vAlign w:val="bottom"/>
            <w:shd w:val="clear" w:color="auto" w:fill="DFE4EA"/>
          </w:tcPr>
          <w:p>
            <w:pPr>
              <w:spacing w:after="0"/>
              <w:rPr>
                <w:sz w:val="5"/>
                <w:szCs w:val="5"/>
                <w:color w:val="auto"/>
              </w:rPr>
            </w:pPr>
          </w:p>
        </w:tc>
        <w:tc>
          <w:tcPr>
            <w:tcW w:w="1000" w:type="dxa"/>
            <w:vAlign w:val="bottom"/>
            <w:shd w:val="clear" w:color="auto" w:fill="DFE4EA"/>
          </w:tcPr>
          <w:p>
            <w:pPr>
              <w:spacing w:after="0"/>
              <w:rPr>
                <w:sz w:val="5"/>
                <w:szCs w:val="5"/>
                <w:color w:val="auto"/>
              </w:rPr>
            </w:pPr>
          </w:p>
        </w:tc>
        <w:tc>
          <w:tcPr>
            <w:tcW w:w="1140" w:type="dxa"/>
            <w:vAlign w:val="bottom"/>
            <w:shd w:val="clear" w:color="auto" w:fill="DFE4EA"/>
          </w:tcPr>
          <w:p>
            <w:pPr>
              <w:jc w:val="right"/>
              <w:ind w:right="197"/>
              <w:spacing w:after="0" w:line="58" w:lineRule="exact"/>
              <w:rPr>
                <w:sz w:val="20"/>
                <w:szCs w:val="20"/>
                <w:color w:val="auto"/>
              </w:rPr>
            </w:pPr>
            <w:r>
              <w:rPr>
                <w:rFonts w:ascii="Arial" w:cs="Arial" w:eastAsia="Arial" w:hAnsi="Arial"/>
                <w:sz w:val="6"/>
                <w:szCs w:val="6"/>
                <w:color w:val="auto"/>
              </w:rPr>
              <w:t>​</w:t>
            </w:r>
          </w:p>
        </w:tc>
        <w:tc>
          <w:tcPr>
            <w:tcW w:w="840" w:type="dxa"/>
            <w:vAlign w:val="bottom"/>
            <w:shd w:val="clear" w:color="auto" w:fill="DFE4EA"/>
          </w:tcPr>
          <w:p>
            <w:pPr>
              <w:spacing w:after="0"/>
              <w:rPr>
                <w:sz w:val="5"/>
                <w:szCs w:val="5"/>
                <w:color w:val="auto"/>
              </w:rPr>
            </w:pPr>
          </w:p>
        </w:tc>
        <w:tc>
          <w:tcPr>
            <w:tcW w:w="1000" w:type="dxa"/>
            <w:vAlign w:val="bottom"/>
            <w:shd w:val="clear" w:color="auto" w:fill="DFE4EA"/>
          </w:tcPr>
          <w:p>
            <w:pPr>
              <w:spacing w:after="0"/>
              <w:rPr>
                <w:sz w:val="5"/>
                <w:szCs w:val="5"/>
                <w:color w:val="auto"/>
              </w:rPr>
            </w:pPr>
          </w:p>
        </w:tc>
        <w:tc>
          <w:tcPr>
            <w:tcW w:w="1000" w:type="dxa"/>
            <w:vAlign w:val="bottom"/>
            <w:shd w:val="clear" w:color="auto" w:fill="DFE4EA"/>
          </w:tcPr>
          <w:p>
            <w:pPr>
              <w:spacing w:after="0"/>
              <w:rPr>
                <w:sz w:val="5"/>
                <w:szCs w:val="5"/>
                <w:color w:val="auto"/>
              </w:rPr>
            </w:pPr>
          </w:p>
        </w:tc>
      </w:tr>
      <w:tr>
        <w:trPr>
          <w:trHeight w:val="186"/>
        </w:trPr>
        <w:tc>
          <w:tcPr>
            <w:tcW w:w="5040" w:type="dxa"/>
            <w:vAlign w:val="bottom"/>
          </w:tcPr>
          <w:p>
            <w:pPr>
              <w:spacing w:after="0" w:line="186" w:lineRule="exact"/>
              <w:rPr>
                <w:sz w:val="20"/>
                <w:szCs w:val="20"/>
                <w:color w:val="auto"/>
              </w:rPr>
            </w:pPr>
            <w:r>
              <w:rPr>
                <w:rFonts w:ascii="Arial" w:cs="Arial" w:eastAsia="Arial" w:hAnsi="Arial"/>
                <w:sz w:val="14"/>
                <w:szCs w:val="14"/>
                <w:color w:val="auto"/>
              </w:rPr>
              <w:t>% Long-Term Compensation</w:t>
            </w:r>
            <w:r>
              <w:rPr>
                <w:rFonts w:ascii="Arial" w:cs="Arial" w:eastAsia="Arial" w:hAnsi="Arial"/>
                <w:sz w:val="21"/>
                <w:szCs w:val="21"/>
                <w:color w:val="auto"/>
                <w:vertAlign w:val="superscript"/>
              </w:rPr>
              <w:t>(7)</w:t>
            </w:r>
          </w:p>
        </w:tc>
        <w:tc>
          <w:tcPr>
            <w:tcW w:w="1000" w:type="dxa"/>
            <w:vAlign w:val="bottom"/>
          </w:tcPr>
          <w:p>
            <w:pPr>
              <w:jc w:val="right"/>
              <w:ind w:right="88"/>
              <w:spacing w:after="0"/>
              <w:rPr>
                <w:sz w:val="20"/>
                <w:szCs w:val="20"/>
                <w:color w:val="auto"/>
              </w:rPr>
            </w:pPr>
            <w:r>
              <w:rPr>
                <w:rFonts w:ascii="Arial" w:cs="Arial" w:eastAsia="Arial" w:hAnsi="Arial"/>
                <w:sz w:val="15"/>
                <w:szCs w:val="15"/>
                <w:color w:val="auto"/>
              </w:rPr>
              <w:t>75.0</w:t>
            </w:r>
          </w:p>
        </w:tc>
        <w:tc>
          <w:tcPr>
            <w:tcW w:w="1140" w:type="dxa"/>
            <w:vAlign w:val="bottom"/>
          </w:tcPr>
          <w:p>
            <w:pPr>
              <w:jc w:val="right"/>
              <w:ind w:right="237"/>
              <w:spacing w:after="0"/>
              <w:rPr>
                <w:sz w:val="20"/>
                <w:szCs w:val="20"/>
                <w:color w:val="auto"/>
              </w:rPr>
            </w:pPr>
            <w:r>
              <w:rPr>
                <w:rFonts w:ascii="Arial" w:cs="Arial" w:eastAsia="Arial" w:hAnsi="Arial"/>
                <w:sz w:val="15"/>
                <w:szCs w:val="15"/>
                <w:color w:val="auto"/>
              </w:rPr>
              <w:t>69.4</w:t>
            </w:r>
          </w:p>
        </w:tc>
        <w:tc>
          <w:tcPr>
            <w:tcW w:w="840" w:type="dxa"/>
            <w:vAlign w:val="bottom"/>
          </w:tcPr>
          <w:p>
            <w:pPr>
              <w:jc w:val="right"/>
              <w:spacing w:after="0"/>
              <w:rPr>
                <w:sz w:val="20"/>
                <w:szCs w:val="20"/>
                <w:color w:val="auto"/>
              </w:rPr>
            </w:pPr>
            <w:r>
              <w:rPr>
                <w:rFonts w:ascii="Arial" w:cs="Arial" w:eastAsia="Arial" w:hAnsi="Arial"/>
                <w:sz w:val="15"/>
                <w:szCs w:val="15"/>
                <w:color w:val="auto"/>
              </w:rPr>
              <w:t>65.1</w:t>
            </w:r>
          </w:p>
        </w:tc>
        <w:tc>
          <w:tcPr>
            <w:tcW w:w="1000" w:type="dxa"/>
            <w:vAlign w:val="bottom"/>
          </w:tcPr>
          <w:p>
            <w:pPr>
              <w:jc w:val="right"/>
              <w:spacing w:after="0"/>
              <w:rPr>
                <w:sz w:val="20"/>
                <w:szCs w:val="20"/>
                <w:color w:val="auto"/>
              </w:rPr>
            </w:pPr>
            <w:r>
              <w:rPr>
                <w:rFonts w:ascii="Arial" w:cs="Arial" w:eastAsia="Arial" w:hAnsi="Arial"/>
                <w:sz w:val="15"/>
                <w:szCs w:val="15"/>
                <w:color w:val="auto"/>
              </w:rPr>
              <w:t>64.4</w:t>
            </w:r>
          </w:p>
        </w:tc>
        <w:tc>
          <w:tcPr>
            <w:tcW w:w="1000" w:type="dxa"/>
            <w:vAlign w:val="bottom"/>
          </w:tcPr>
          <w:p>
            <w:pPr>
              <w:jc w:val="right"/>
              <w:spacing w:after="0"/>
              <w:rPr>
                <w:sz w:val="20"/>
                <w:szCs w:val="20"/>
                <w:color w:val="auto"/>
              </w:rPr>
            </w:pPr>
            <w:r>
              <w:rPr>
                <w:rFonts w:ascii="Arial" w:cs="Arial" w:eastAsia="Arial" w:hAnsi="Arial"/>
                <w:sz w:val="15"/>
                <w:szCs w:val="15"/>
                <w:color w:val="auto"/>
              </w:rPr>
              <w:t>58.4</w:t>
            </w:r>
          </w:p>
        </w:tc>
      </w:tr>
      <w:tr>
        <w:trPr>
          <w:trHeight w:val="204"/>
        </w:trPr>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jc w:val="right"/>
              <w:ind w:right="197"/>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ind w:left="220" w:hanging="219"/>
        <w:spacing w:after="0" w:line="189" w:lineRule="auto"/>
        <w:tabs>
          <w:tab w:leader="none" w:pos="2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Salary was set by the Committee in February 2025.</w:t>
      </w:r>
    </w:p>
    <w:p>
      <w:pPr>
        <w:spacing w:after="0" w:line="79"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Like in 2024, Short-Term Incentive (cash bonus) was tied only to financial metrics.</w:t>
      </w:r>
    </w:p>
    <w:p>
      <w:pPr>
        <w:spacing w:after="0" w:line="79" w:lineRule="exact"/>
        <w:rPr>
          <w:rFonts w:ascii="Arial" w:cs="Arial" w:eastAsia="Arial" w:hAnsi="Arial"/>
          <w:sz w:val="22"/>
          <w:szCs w:val="22"/>
          <w:color w:val="auto"/>
          <w:vertAlign w:val="superscript"/>
        </w:rPr>
      </w:pPr>
    </w:p>
    <w:p>
      <w:pPr>
        <w:ind w:left="220" w:hanging="219"/>
        <w:spacing w:after="0" w:line="211" w:lineRule="auto"/>
        <w:tabs>
          <w:tab w:leader="none" w:pos="2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Long-Term Incentive - Annual Equity is based on a grant date closing share price of $25.41.</w:t>
      </w:r>
    </w:p>
    <w:p>
      <w:pPr>
        <w:spacing w:after="0" w:line="79" w:lineRule="exact"/>
        <w:rPr>
          <w:rFonts w:ascii="Arial" w:cs="Arial" w:eastAsia="Arial" w:hAnsi="Arial"/>
          <w:sz w:val="22"/>
          <w:szCs w:val="22"/>
          <w:color w:val="auto"/>
          <w:vertAlign w:val="superscript"/>
        </w:rPr>
      </w:pPr>
    </w:p>
    <w:p>
      <w:pPr>
        <w:ind w:left="220" w:hanging="219"/>
        <w:spacing w:after="0" w:line="211" w:lineRule="auto"/>
        <w:tabs>
          <w:tab w:leader="none" w:pos="2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Salary as a percentage of Target Total Direct Compensation.</w:t>
      </w:r>
    </w:p>
    <w:p>
      <w:pPr>
        <w:spacing w:after="0" w:line="79"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Short-Term Incentive plus Long-Term Incentive as a percentage of Target Total Direct Compensation.</w:t>
      </w:r>
    </w:p>
    <w:p>
      <w:pPr>
        <w:spacing w:after="0" w:line="79" w:lineRule="exact"/>
        <w:rPr>
          <w:rFonts w:ascii="Arial" w:cs="Arial" w:eastAsia="Arial" w:hAnsi="Arial"/>
          <w:sz w:val="22"/>
          <w:szCs w:val="22"/>
          <w:color w:val="auto"/>
          <w:vertAlign w:val="superscript"/>
        </w:rPr>
      </w:pPr>
    </w:p>
    <w:p>
      <w:pPr>
        <w:ind w:left="220" w:hanging="219"/>
        <w:spacing w:after="0" w:line="211" w:lineRule="auto"/>
        <w:tabs>
          <w:tab w:leader="none" w:pos="2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Salary plus Short-Term Incentive as a percentage of Target Total Direct Compensation.</w:t>
      </w:r>
    </w:p>
    <w:p>
      <w:pPr>
        <w:spacing w:after="0" w:line="79" w:lineRule="exact"/>
        <w:rPr>
          <w:rFonts w:ascii="Arial" w:cs="Arial" w:eastAsia="Arial" w:hAnsi="Arial"/>
          <w:sz w:val="22"/>
          <w:szCs w:val="22"/>
          <w:color w:val="auto"/>
          <w:vertAlign w:val="superscript"/>
        </w:rPr>
      </w:pPr>
    </w:p>
    <w:p>
      <w:pPr>
        <w:ind w:left="220" w:hanging="219"/>
        <w:spacing w:after="0" w:line="211" w:lineRule="auto"/>
        <w:tabs>
          <w:tab w:leader="none" w:pos="2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Long-Term Incentive as a percentage of Target Total Direct Compensation.</w:t>
      </w:r>
    </w:p>
    <w:p>
      <w:pPr>
        <w:spacing w:after="0" w:line="106"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Inclusive of a one-time grant of $210,000 in connection with Mr. Berry’s appointment as COO on August 12, 2025, with a grant date closing share price of $43.85.</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MARKET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As part of its decision-making process, the Committee requests and reviews relevant market data regarding executive officer compensation levels, Company performance, and the relative relationship between executive officer pay and Company performance. The Committee, however, views this data as one of many inputs into its decision-making process, which also includes other assessments of the Company’s performance, assessments of each executive officer’s performance, the need to address unforeseen challenges, significant changes in roles and responsibilities, internal pay equity among executive officers, and retention considerations.</w:t>
      </w:r>
    </w:p>
    <w:p>
      <w:pPr>
        <w:spacing w:after="0" w:line="112"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5"/>
          <w:szCs w:val="15"/>
          <w:color w:val="auto"/>
        </w:rPr>
        <w:t>Each year, the Committee reviews and considers an executive officer compensation study prepared by Willis Towers Watson, additional compensation data provided by management, and internal equity information. The executive officer compensation study is typically completed in the fourth quarter of the fiscal year and is used to inform the Committee’s decisions regarding the subsequent fiscal year’s compensation. Accordingly, the relevant study and market information reviewed by the Committee with regard to fiscal 2025 officer compensation was presented to the Committee in the fourth quarter of fiscal 2024, and supplemented based on Committee feedback in the first quarter of 2025. We refer to this study, as updated, as the “2024 Study.” The Committee reconsidered the 2024 Study for continued applicability at its first quarter 2025 meetings. As in prior years, the 2024 Study assessed both the competitiveness of pay levels, generally and by certain specific positions, as well as the alignment of pay with Company performance.</w:t>
      </w:r>
    </w:p>
    <w:p>
      <w:pPr>
        <w:spacing w:after="0" w:line="128"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color w:val="auto"/>
        </w:rPr>
        <w:t>The Company’s 2024 compensation peer group, which is described in more detail below, had median revenues of $412.2 million, based on the latest figures available at the time the 2024 Study was prepared, and median market capitalization as of July 2024 of $837.5 million. In addition to using officer pay information as disclosed by companies in the compensation peer group, the 2024 Study used survey data drawn from a compensation survey of U.S. companies, including medical device companies with targeted revenues of $ 150 million - $1 billion, in order to approximate the Company’s estimated revenue for 2025. With respect to all NEOs included in the 2024 Study, the data in the study was a blend of the 2024 peer group and the survey information. In each case, Willis Towers Watson trended the compensation data forward to January 1, 2025, by a factor of 3.5%.</w:t>
      </w:r>
    </w:p>
    <w:p>
      <w:pPr>
        <w:sectPr>
          <w:pgSz w:w="11900" w:h="16838" w:orient="portrait"/>
          <w:cols w:equalWidth="0" w:num="1">
            <w:col w:w="10020"/>
          </w:cols>
          <w:pgMar w:left="980" w:top="87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32" w:name="page33"/>
    <w:bookmarkEnd w:id="32"/>
    <w:p>
      <w:pPr>
        <w:ind w:left="340"/>
        <w:spacing w:after="0"/>
        <w:rPr>
          <w:sz w:val="20"/>
          <w:szCs w:val="20"/>
          <w:color w:val="auto"/>
        </w:rPr>
      </w:pPr>
      <w:r>
        <w:rPr>
          <w:rFonts w:ascii="Arial" w:cs="Arial" w:eastAsia="Arial" w:hAnsi="Arial"/>
          <w:sz w:val="15"/>
          <w:szCs w:val="15"/>
          <w:color w:val="auto"/>
        </w:rPr>
        <w:t>The following peer companies were used for the 2024 Study.</w:t>
      </w:r>
    </w:p>
    <w:p>
      <w:pPr>
        <w:spacing w:after="0" w:line="60" w:lineRule="exact"/>
        <w:rPr>
          <w:sz w:val="20"/>
          <w:szCs w:val="20"/>
          <w:color w:val="auto"/>
        </w:rPr>
      </w:pPr>
    </w:p>
    <w:tbl>
      <w:tblPr>
        <w:tblLayout w:type="fixed"/>
        <w:tblInd w:w="340" w:type="dxa"/>
        <w:tblCellMar>
          <w:top w:w="0" w:type="dxa"/>
          <w:left w:w="0" w:type="dxa"/>
          <w:bottom w:w="0" w:type="dxa"/>
          <w:right w:w="0" w:type="dxa"/>
        </w:tblCellMar>
      </w:tblPr>
      <w:tr>
        <w:trPr>
          <w:trHeight w:val="276"/>
        </w:trPr>
        <w:tc>
          <w:tcPr>
            <w:tcW w:w="2620" w:type="dxa"/>
            <w:vAlign w:val="bottom"/>
            <w:vMerge w:val="restart"/>
          </w:tcPr>
          <w:p>
            <w:pPr>
              <w:ind w:left="860"/>
              <w:spacing w:after="0"/>
              <w:rPr>
                <w:sz w:val="20"/>
                <w:szCs w:val="20"/>
                <w:color w:val="auto"/>
              </w:rPr>
            </w:pPr>
            <w:r>
              <w:rPr>
                <w:rFonts w:ascii="Arial" w:cs="Arial" w:eastAsia="Arial" w:hAnsi="Arial"/>
                <w:sz w:val="15"/>
                <w:szCs w:val="15"/>
                <w:b w:val="1"/>
                <w:bCs w:val="1"/>
                <w:color w:val="auto"/>
              </w:rPr>
              <w:t>Peer Company</w:t>
            </w:r>
            <w:r>
              <w:rPr>
                <w:rFonts w:ascii="Arial" w:cs="Arial" w:eastAsia="Arial" w:hAnsi="Arial"/>
                <w:sz w:val="24"/>
                <w:szCs w:val="24"/>
                <w:b w:val="1"/>
                <w:bCs w:val="1"/>
                <w:color w:val="auto"/>
                <w:vertAlign w:val="superscript"/>
              </w:rPr>
              <w:t>(1)</w:t>
            </w:r>
          </w:p>
        </w:tc>
        <w:tc>
          <w:tcPr>
            <w:tcW w:w="1580" w:type="dxa"/>
            <w:vAlign w:val="bottom"/>
          </w:tcPr>
          <w:p>
            <w:pPr>
              <w:ind w:left="380"/>
              <w:spacing w:after="0"/>
              <w:rPr>
                <w:sz w:val="20"/>
                <w:szCs w:val="20"/>
                <w:color w:val="auto"/>
              </w:rPr>
            </w:pPr>
            <w:r>
              <w:rPr>
                <w:rFonts w:ascii="Arial" w:cs="Arial" w:eastAsia="Arial" w:hAnsi="Arial"/>
                <w:sz w:val="15"/>
                <w:szCs w:val="15"/>
                <w:b w:val="1"/>
                <w:bCs w:val="1"/>
                <w:color w:val="auto"/>
              </w:rPr>
              <w:t>FYE Revenue</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206"/>
        </w:trPr>
        <w:tc>
          <w:tcPr>
            <w:tcW w:w="262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tcPr>
          <w:p>
            <w:pPr>
              <w:jc w:val="center"/>
              <w:ind w:left="26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0"/>
        </w:trPr>
        <w:tc>
          <w:tcPr>
            <w:tcW w:w="2620" w:type="dxa"/>
            <w:vAlign w:val="bottom"/>
            <w:shd w:val="clear" w:color="auto" w:fill="DFE4EA"/>
          </w:tcPr>
          <w:p>
            <w:pPr>
              <w:spacing w:after="0"/>
              <w:rPr>
                <w:sz w:val="20"/>
                <w:szCs w:val="20"/>
                <w:color w:val="auto"/>
              </w:rPr>
            </w:pPr>
            <w:r>
              <w:rPr>
                <w:rFonts w:ascii="Arial" w:cs="Arial" w:eastAsia="Arial" w:hAnsi="Arial"/>
                <w:sz w:val="15"/>
                <w:szCs w:val="15"/>
                <w:color w:val="auto"/>
              </w:rPr>
              <w:t>Tandem Diabetes Care, Inc.</w:t>
            </w:r>
          </w:p>
        </w:tc>
        <w:tc>
          <w:tcPr>
            <w:tcW w:w="1580" w:type="dxa"/>
            <w:vAlign w:val="bottom"/>
            <w:shd w:val="clear" w:color="auto" w:fill="DFE4EA"/>
          </w:tcPr>
          <w:p>
            <w:pPr>
              <w:jc w:val="center"/>
              <w:ind w:left="263"/>
              <w:spacing w:after="0"/>
              <w:rPr>
                <w:sz w:val="20"/>
                <w:szCs w:val="20"/>
                <w:color w:val="auto"/>
              </w:rPr>
            </w:pPr>
            <w:r>
              <w:rPr>
                <w:rFonts w:ascii="Arial" w:cs="Arial" w:eastAsia="Arial" w:hAnsi="Arial"/>
                <w:sz w:val="15"/>
                <w:szCs w:val="15"/>
                <w:color w:val="auto"/>
              </w:rPr>
              <w:t>747.7</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5"/>
                <w:szCs w:val="15"/>
                <w:color w:val="auto"/>
              </w:rPr>
              <w:t>Orthofix Medical Inc.</w:t>
            </w:r>
          </w:p>
        </w:tc>
        <w:tc>
          <w:tcPr>
            <w:tcW w:w="1580" w:type="dxa"/>
            <w:vAlign w:val="bottom"/>
          </w:tcPr>
          <w:p>
            <w:pPr>
              <w:jc w:val="center"/>
              <w:ind w:left="263"/>
              <w:spacing w:after="0"/>
              <w:rPr>
                <w:sz w:val="20"/>
                <w:szCs w:val="20"/>
                <w:color w:val="auto"/>
              </w:rPr>
            </w:pPr>
            <w:r>
              <w:rPr>
                <w:rFonts w:ascii="Arial" w:cs="Arial" w:eastAsia="Arial" w:hAnsi="Arial"/>
                <w:sz w:val="15"/>
                <w:szCs w:val="15"/>
                <w:color w:val="auto"/>
              </w:rPr>
              <w:t>746.6</w:t>
            </w:r>
          </w:p>
        </w:tc>
        <w:tc>
          <w:tcPr>
            <w:tcW w:w="0" w:type="dxa"/>
            <w:vAlign w:val="bottom"/>
          </w:tcPr>
          <w:p>
            <w:pPr>
              <w:spacing w:after="0"/>
              <w:rPr>
                <w:sz w:val="1"/>
                <w:szCs w:val="1"/>
                <w:color w:val="auto"/>
              </w:rPr>
            </w:pPr>
          </w:p>
        </w:tc>
      </w:tr>
      <w:tr>
        <w:trPr>
          <w:trHeight w:val="224"/>
        </w:trPr>
        <w:tc>
          <w:tcPr>
            <w:tcW w:w="2620" w:type="dxa"/>
            <w:vAlign w:val="bottom"/>
            <w:shd w:val="clear" w:color="auto" w:fill="DFE4EA"/>
          </w:tcPr>
          <w:p>
            <w:pPr>
              <w:spacing w:after="0"/>
              <w:rPr>
                <w:sz w:val="20"/>
                <w:szCs w:val="20"/>
                <w:color w:val="auto"/>
              </w:rPr>
            </w:pPr>
            <w:r>
              <w:rPr>
                <w:rFonts w:ascii="Arial" w:cs="Arial" w:eastAsia="Arial" w:hAnsi="Arial"/>
                <w:sz w:val="15"/>
                <w:szCs w:val="15"/>
                <w:color w:val="auto"/>
              </w:rPr>
              <w:t>Avanos Medical, Inc.</w:t>
            </w:r>
          </w:p>
        </w:tc>
        <w:tc>
          <w:tcPr>
            <w:tcW w:w="1580" w:type="dxa"/>
            <w:vAlign w:val="bottom"/>
            <w:shd w:val="clear" w:color="auto" w:fill="DFE4EA"/>
          </w:tcPr>
          <w:p>
            <w:pPr>
              <w:jc w:val="center"/>
              <w:ind w:left="263"/>
              <w:spacing w:after="0"/>
              <w:rPr>
                <w:sz w:val="20"/>
                <w:szCs w:val="20"/>
                <w:color w:val="auto"/>
              </w:rPr>
            </w:pPr>
            <w:r>
              <w:rPr>
                <w:rFonts w:ascii="Arial" w:cs="Arial" w:eastAsia="Arial" w:hAnsi="Arial"/>
                <w:sz w:val="15"/>
                <w:szCs w:val="15"/>
                <w:color w:val="auto"/>
              </w:rPr>
              <w:t>673.3</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5"/>
                <w:szCs w:val="15"/>
                <w:color w:val="auto"/>
              </w:rPr>
              <w:t>Inari Medical, Inc.</w:t>
            </w:r>
          </w:p>
        </w:tc>
        <w:tc>
          <w:tcPr>
            <w:tcW w:w="1580" w:type="dxa"/>
            <w:vAlign w:val="bottom"/>
          </w:tcPr>
          <w:p>
            <w:pPr>
              <w:jc w:val="center"/>
              <w:ind w:left="263"/>
              <w:spacing w:after="0"/>
              <w:rPr>
                <w:sz w:val="20"/>
                <w:szCs w:val="20"/>
                <w:color w:val="auto"/>
              </w:rPr>
            </w:pPr>
            <w:r>
              <w:rPr>
                <w:rFonts w:ascii="Arial" w:cs="Arial" w:eastAsia="Arial" w:hAnsi="Arial"/>
                <w:sz w:val="15"/>
                <w:szCs w:val="15"/>
                <w:color w:val="auto"/>
              </w:rPr>
              <w:t>493.6</w:t>
            </w:r>
          </w:p>
        </w:tc>
        <w:tc>
          <w:tcPr>
            <w:tcW w:w="0" w:type="dxa"/>
            <w:vAlign w:val="bottom"/>
          </w:tcPr>
          <w:p>
            <w:pPr>
              <w:spacing w:after="0"/>
              <w:rPr>
                <w:sz w:val="1"/>
                <w:szCs w:val="1"/>
                <w:color w:val="auto"/>
              </w:rPr>
            </w:pPr>
          </w:p>
        </w:tc>
      </w:tr>
      <w:tr>
        <w:trPr>
          <w:trHeight w:val="224"/>
        </w:trPr>
        <w:tc>
          <w:tcPr>
            <w:tcW w:w="2620" w:type="dxa"/>
            <w:vAlign w:val="bottom"/>
            <w:shd w:val="clear" w:color="auto" w:fill="DFE4EA"/>
          </w:tcPr>
          <w:p>
            <w:pPr>
              <w:spacing w:after="0"/>
              <w:rPr>
                <w:sz w:val="20"/>
                <w:szCs w:val="20"/>
                <w:color w:val="auto"/>
              </w:rPr>
            </w:pPr>
            <w:r>
              <w:rPr>
                <w:rFonts w:ascii="Arial" w:cs="Arial" w:eastAsia="Arial" w:hAnsi="Arial"/>
                <w:sz w:val="15"/>
                <w:szCs w:val="15"/>
                <w:color w:val="auto"/>
              </w:rPr>
              <w:t>iRhythm Technologies, Inc.</w:t>
            </w:r>
          </w:p>
        </w:tc>
        <w:tc>
          <w:tcPr>
            <w:tcW w:w="1580" w:type="dxa"/>
            <w:vAlign w:val="bottom"/>
            <w:shd w:val="clear" w:color="auto" w:fill="DFE4EA"/>
          </w:tcPr>
          <w:p>
            <w:pPr>
              <w:jc w:val="center"/>
              <w:ind w:left="263"/>
              <w:spacing w:after="0"/>
              <w:rPr>
                <w:sz w:val="20"/>
                <w:szCs w:val="20"/>
                <w:color w:val="auto"/>
              </w:rPr>
            </w:pPr>
            <w:r>
              <w:rPr>
                <w:rFonts w:ascii="Arial" w:cs="Arial" w:eastAsia="Arial" w:hAnsi="Arial"/>
                <w:sz w:val="15"/>
                <w:szCs w:val="15"/>
                <w:color w:val="auto"/>
              </w:rPr>
              <w:t>492.7</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5"/>
                <w:szCs w:val="15"/>
                <w:color w:val="auto"/>
              </w:rPr>
              <w:t>Alphatec Holdings, Inc.</w:t>
            </w:r>
          </w:p>
        </w:tc>
        <w:tc>
          <w:tcPr>
            <w:tcW w:w="1580" w:type="dxa"/>
            <w:vAlign w:val="bottom"/>
          </w:tcPr>
          <w:p>
            <w:pPr>
              <w:jc w:val="center"/>
              <w:ind w:left="263"/>
              <w:spacing w:after="0"/>
              <w:rPr>
                <w:sz w:val="20"/>
                <w:szCs w:val="20"/>
                <w:color w:val="auto"/>
              </w:rPr>
            </w:pPr>
            <w:r>
              <w:rPr>
                <w:rFonts w:ascii="Arial" w:cs="Arial" w:eastAsia="Arial" w:hAnsi="Arial"/>
                <w:sz w:val="15"/>
                <w:szCs w:val="15"/>
                <w:color w:val="auto"/>
              </w:rPr>
              <w:t>482.3</w:t>
            </w:r>
          </w:p>
        </w:tc>
        <w:tc>
          <w:tcPr>
            <w:tcW w:w="0" w:type="dxa"/>
            <w:vAlign w:val="bottom"/>
          </w:tcPr>
          <w:p>
            <w:pPr>
              <w:spacing w:after="0"/>
              <w:rPr>
                <w:sz w:val="1"/>
                <w:szCs w:val="1"/>
                <w:color w:val="auto"/>
              </w:rPr>
            </w:pPr>
          </w:p>
        </w:tc>
      </w:tr>
      <w:tr>
        <w:trPr>
          <w:trHeight w:val="224"/>
        </w:trPr>
        <w:tc>
          <w:tcPr>
            <w:tcW w:w="2620" w:type="dxa"/>
            <w:vAlign w:val="bottom"/>
            <w:shd w:val="clear" w:color="auto" w:fill="DFE4EA"/>
          </w:tcPr>
          <w:p>
            <w:pPr>
              <w:spacing w:after="0"/>
              <w:rPr>
                <w:sz w:val="20"/>
                <w:szCs w:val="20"/>
                <w:color w:val="auto"/>
              </w:rPr>
            </w:pPr>
            <w:r>
              <w:rPr>
                <w:rFonts w:ascii="Arial" w:cs="Arial" w:eastAsia="Arial" w:hAnsi="Arial"/>
                <w:sz w:val="15"/>
                <w:szCs w:val="15"/>
                <w:color w:val="auto"/>
              </w:rPr>
              <w:t>Accuray Incorporated</w:t>
            </w:r>
          </w:p>
        </w:tc>
        <w:tc>
          <w:tcPr>
            <w:tcW w:w="1580" w:type="dxa"/>
            <w:vAlign w:val="bottom"/>
            <w:shd w:val="clear" w:color="auto" w:fill="DFE4EA"/>
          </w:tcPr>
          <w:p>
            <w:pPr>
              <w:jc w:val="center"/>
              <w:ind w:left="263"/>
              <w:spacing w:after="0"/>
              <w:rPr>
                <w:sz w:val="20"/>
                <w:szCs w:val="20"/>
                <w:color w:val="auto"/>
              </w:rPr>
            </w:pPr>
            <w:r>
              <w:rPr>
                <w:rFonts w:ascii="Arial" w:cs="Arial" w:eastAsia="Arial" w:hAnsi="Arial"/>
                <w:sz w:val="15"/>
                <w:szCs w:val="15"/>
                <w:color w:val="auto"/>
              </w:rPr>
              <w:t>446.6</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5"/>
                <w:szCs w:val="15"/>
                <w:color w:val="auto"/>
              </w:rPr>
              <w:t>Nevro Corp.</w:t>
            </w:r>
          </w:p>
        </w:tc>
        <w:tc>
          <w:tcPr>
            <w:tcW w:w="1580" w:type="dxa"/>
            <w:vAlign w:val="bottom"/>
          </w:tcPr>
          <w:p>
            <w:pPr>
              <w:jc w:val="center"/>
              <w:ind w:left="263"/>
              <w:spacing w:after="0"/>
              <w:rPr>
                <w:sz w:val="20"/>
                <w:szCs w:val="20"/>
                <w:color w:val="auto"/>
              </w:rPr>
            </w:pPr>
            <w:r>
              <w:rPr>
                <w:rFonts w:ascii="Arial" w:cs="Arial" w:eastAsia="Arial" w:hAnsi="Arial"/>
                <w:sz w:val="15"/>
                <w:szCs w:val="15"/>
                <w:color w:val="auto"/>
              </w:rPr>
              <w:t>425.2</w:t>
            </w:r>
          </w:p>
        </w:tc>
        <w:tc>
          <w:tcPr>
            <w:tcW w:w="0" w:type="dxa"/>
            <w:vAlign w:val="bottom"/>
          </w:tcPr>
          <w:p>
            <w:pPr>
              <w:spacing w:after="0"/>
              <w:rPr>
                <w:sz w:val="1"/>
                <w:szCs w:val="1"/>
                <w:color w:val="auto"/>
              </w:rPr>
            </w:pPr>
          </w:p>
        </w:tc>
      </w:tr>
      <w:tr>
        <w:trPr>
          <w:trHeight w:val="224"/>
        </w:trPr>
        <w:tc>
          <w:tcPr>
            <w:tcW w:w="2620" w:type="dxa"/>
            <w:vAlign w:val="bottom"/>
            <w:shd w:val="clear" w:color="auto" w:fill="DFE4EA"/>
          </w:tcPr>
          <w:p>
            <w:pPr>
              <w:spacing w:after="0"/>
              <w:rPr>
                <w:sz w:val="20"/>
                <w:szCs w:val="20"/>
                <w:color w:val="auto"/>
              </w:rPr>
            </w:pPr>
            <w:r>
              <w:rPr>
                <w:rFonts w:ascii="Arial" w:cs="Arial" w:eastAsia="Arial" w:hAnsi="Arial"/>
                <w:sz w:val="15"/>
                <w:szCs w:val="15"/>
                <w:color w:val="auto"/>
              </w:rPr>
              <w:t>AtriCure, Inc.</w:t>
            </w:r>
          </w:p>
        </w:tc>
        <w:tc>
          <w:tcPr>
            <w:tcW w:w="1580" w:type="dxa"/>
            <w:vAlign w:val="bottom"/>
            <w:shd w:val="clear" w:color="auto" w:fill="DFE4EA"/>
          </w:tcPr>
          <w:p>
            <w:pPr>
              <w:jc w:val="center"/>
              <w:ind w:left="263"/>
              <w:spacing w:after="0"/>
              <w:rPr>
                <w:sz w:val="20"/>
                <w:szCs w:val="20"/>
                <w:color w:val="auto"/>
              </w:rPr>
            </w:pPr>
            <w:r>
              <w:rPr>
                <w:rFonts w:ascii="Arial" w:cs="Arial" w:eastAsia="Arial" w:hAnsi="Arial"/>
                <w:sz w:val="15"/>
                <w:szCs w:val="15"/>
                <w:color w:val="auto"/>
              </w:rPr>
              <w:t>399.2</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5"/>
                <w:szCs w:val="15"/>
                <w:color w:val="auto"/>
              </w:rPr>
              <w:t>AngioDynamics, Inc.</w:t>
            </w:r>
          </w:p>
        </w:tc>
        <w:tc>
          <w:tcPr>
            <w:tcW w:w="1580" w:type="dxa"/>
            <w:vAlign w:val="bottom"/>
          </w:tcPr>
          <w:p>
            <w:pPr>
              <w:jc w:val="center"/>
              <w:ind w:left="263"/>
              <w:spacing w:after="0"/>
              <w:rPr>
                <w:sz w:val="20"/>
                <w:szCs w:val="20"/>
                <w:color w:val="auto"/>
              </w:rPr>
            </w:pPr>
            <w:r>
              <w:rPr>
                <w:rFonts w:ascii="Arial" w:cs="Arial" w:eastAsia="Arial" w:hAnsi="Arial"/>
                <w:sz w:val="15"/>
                <w:szCs w:val="15"/>
                <w:color w:val="auto"/>
              </w:rPr>
              <w:t>303.9</w:t>
            </w:r>
          </w:p>
        </w:tc>
        <w:tc>
          <w:tcPr>
            <w:tcW w:w="0" w:type="dxa"/>
            <w:vAlign w:val="bottom"/>
          </w:tcPr>
          <w:p>
            <w:pPr>
              <w:spacing w:after="0"/>
              <w:rPr>
                <w:sz w:val="1"/>
                <w:szCs w:val="1"/>
                <w:color w:val="auto"/>
              </w:rPr>
            </w:pPr>
          </w:p>
        </w:tc>
      </w:tr>
      <w:tr>
        <w:trPr>
          <w:trHeight w:val="224"/>
        </w:trPr>
        <w:tc>
          <w:tcPr>
            <w:tcW w:w="2620" w:type="dxa"/>
            <w:vAlign w:val="bottom"/>
            <w:shd w:val="clear" w:color="auto" w:fill="DFE4EA"/>
          </w:tcPr>
          <w:p>
            <w:pPr>
              <w:spacing w:after="0"/>
              <w:rPr>
                <w:sz w:val="20"/>
                <w:szCs w:val="20"/>
                <w:color w:val="auto"/>
              </w:rPr>
            </w:pPr>
            <w:r>
              <w:rPr>
                <w:rFonts w:ascii="Arial" w:cs="Arial" w:eastAsia="Arial" w:hAnsi="Arial"/>
                <w:sz w:val="15"/>
                <w:szCs w:val="15"/>
                <w:color w:val="auto"/>
              </w:rPr>
              <w:t>STAAR Surgical Company</w:t>
            </w:r>
          </w:p>
        </w:tc>
        <w:tc>
          <w:tcPr>
            <w:tcW w:w="1580" w:type="dxa"/>
            <w:vAlign w:val="bottom"/>
            <w:shd w:val="clear" w:color="auto" w:fill="DFE4EA"/>
          </w:tcPr>
          <w:p>
            <w:pPr>
              <w:jc w:val="center"/>
              <w:ind w:left="263"/>
              <w:spacing w:after="0"/>
              <w:rPr>
                <w:sz w:val="20"/>
                <w:szCs w:val="20"/>
                <w:color w:val="auto"/>
              </w:rPr>
            </w:pPr>
            <w:r>
              <w:rPr>
                <w:rFonts w:ascii="Arial" w:cs="Arial" w:eastAsia="Arial" w:hAnsi="Arial"/>
                <w:sz w:val="15"/>
                <w:szCs w:val="15"/>
                <w:color w:val="auto"/>
              </w:rPr>
              <w:t>322.4</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5"/>
                <w:szCs w:val="15"/>
                <w:color w:val="auto"/>
              </w:rPr>
              <w:t>Inogen, Inc.</w:t>
            </w:r>
          </w:p>
        </w:tc>
        <w:tc>
          <w:tcPr>
            <w:tcW w:w="1580" w:type="dxa"/>
            <w:vAlign w:val="bottom"/>
          </w:tcPr>
          <w:p>
            <w:pPr>
              <w:jc w:val="center"/>
              <w:ind w:left="263"/>
              <w:spacing w:after="0"/>
              <w:rPr>
                <w:sz w:val="20"/>
                <w:szCs w:val="20"/>
                <w:color w:val="auto"/>
              </w:rPr>
            </w:pPr>
            <w:r>
              <w:rPr>
                <w:rFonts w:ascii="Arial" w:cs="Arial" w:eastAsia="Arial" w:hAnsi="Arial"/>
                <w:sz w:val="15"/>
                <w:szCs w:val="15"/>
                <w:color w:val="auto"/>
              </w:rPr>
              <w:t>315.7</w:t>
            </w:r>
          </w:p>
        </w:tc>
        <w:tc>
          <w:tcPr>
            <w:tcW w:w="0" w:type="dxa"/>
            <w:vAlign w:val="bottom"/>
          </w:tcPr>
          <w:p>
            <w:pPr>
              <w:spacing w:after="0"/>
              <w:rPr>
                <w:sz w:val="1"/>
                <w:szCs w:val="1"/>
                <w:color w:val="auto"/>
              </w:rPr>
            </w:pPr>
          </w:p>
        </w:tc>
      </w:tr>
      <w:tr>
        <w:trPr>
          <w:trHeight w:val="224"/>
        </w:trPr>
        <w:tc>
          <w:tcPr>
            <w:tcW w:w="2620" w:type="dxa"/>
            <w:vAlign w:val="bottom"/>
            <w:shd w:val="clear" w:color="auto" w:fill="DFE4EA"/>
          </w:tcPr>
          <w:p>
            <w:pPr>
              <w:spacing w:after="0"/>
              <w:rPr>
                <w:sz w:val="20"/>
                <w:szCs w:val="20"/>
                <w:color w:val="auto"/>
              </w:rPr>
            </w:pPr>
            <w:r>
              <w:rPr>
                <w:rFonts w:ascii="Arial" w:cs="Arial" w:eastAsia="Arial" w:hAnsi="Arial"/>
                <w:sz w:val="15"/>
                <w:szCs w:val="15"/>
                <w:color w:val="auto"/>
              </w:rPr>
              <w:t>Tactile Systems Technology, Inc.</w:t>
            </w:r>
          </w:p>
        </w:tc>
        <w:tc>
          <w:tcPr>
            <w:tcW w:w="1580" w:type="dxa"/>
            <w:vAlign w:val="bottom"/>
            <w:shd w:val="clear" w:color="auto" w:fill="DFE4EA"/>
          </w:tcPr>
          <w:p>
            <w:pPr>
              <w:jc w:val="center"/>
              <w:ind w:left="263"/>
              <w:spacing w:after="0"/>
              <w:rPr>
                <w:sz w:val="20"/>
                <w:szCs w:val="20"/>
                <w:color w:val="auto"/>
              </w:rPr>
            </w:pPr>
            <w:r>
              <w:rPr>
                <w:rFonts w:ascii="Arial" w:cs="Arial" w:eastAsia="Arial" w:hAnsi="Arial"/>
                <w:sz w:val="15"/>
                <w:szCs w:val="15"/>
                <w:color w:val="auto"/>
              </w:rPr>
              <w:t>274.4</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5"/>
                <w:szCs w:val="15"/>
                <w:color w:val="auto"/>
              </w:rPr>
              <w:t>TransMedics Group, Inc.</w:t>
            </w:r>
          </w:p>
        </w:tc>
        <w:tc>
          <w:tcPr>
            <w:tcW w:w="1580" w:type="dxa"/>
            <w:vAlign w:val="bottom"/>
          </w:tcPr>
          <w:p>
            <w:pPr>
              <w:jc w:val="center"/>
              <w:ind w:left="263"/>
              <w:spacing w:after="0"/>
              <w:rPr>
                <w:sz w:val="20"/>
                <w:szCs w:val="20"/>
                <w:color w:val="auto"/>
              </w:rPr>
            </w:pPr>
            <w:r>
              <w:rPr>
                <w:rFonts w:ascii="Arial" w:cs="Arial" w:eastAsia="Arial" w:hAnsi="Arial"/>
                <w:sz w:val="15"/>
                <w:szCs w:val="15"/>
                <w:color w:val="auto"/>
              </w:rPr>
              <w:t>241.6</w:t>
            </w:r>
          </w:p>
        </w:tc>
        <w:tc>
          <w:tcPr>
            <w:tcW w:w="0" w:type="dxa"/>
            <w:vAlign w:val="bottom"/>
          </w:tcPr>
          <w:p>
            <w:pPr>
              <w:spacing w:after="0"/>
              <w:rPr>
                <w:sz w:val="1"/>
                <w:szCs w:val="1"/>
                <w:color w:val="auto"/>
              </w:rPr>
            </w:pPr>
          </w:p>
        </w:tc>
      </w:tr>
      <w:tr>
        <w:trPr>
          <w:trHeight w:val="224"/>
        </w:trPr>
        <w:tc>
          <w:tcPr>
            <w:tcW w:w="2620" w:type="dxa"/>
            <w:vAlign w:val="bottom"/>
            <w:shd w:val="clear" w:color="auto" w:fill="DFE4EA"/>
          </w:tcPr>
          <w:p>
            <w:pPr>
              <w:spacing w:after="0"/>
              <w:rPr>
                <w:sz w:val="20"/>
                <w:szCs w:val="20"/>
                <w:color w:val="auto"/>
              </w:rPr>
            </w:pPr>
            <w:r>
              <w:rPr>
                <w:rFonts w:ascii="Arial" w:cs="Arial" w:eastAsia="Arial" w:hAnsi="Arial"/>
                <w:sz w:val="15"/>
                <w:szCs w:val="15"/>
                <w:color w:val="auto"/>
              </w:rPr>
              <w:t>Paragon 28, Inc.</w:t>
            </w:r>
          </w:p>
        </w:tc>
        <w:tc>
          <w:tcPr>
            <w:tcW w:w="1580" w:type="dxa"/>
            <w:vAlign w:val="bottom"/>
            <w:shd w:val="clear" w:color="auto" w:fill="DFE4EA"/>
          </w:tcPr>
          <w:p>
            <w:pPr>
              <w:jc w:val="center"/>
              <w:ind w:left="263"/>
              <w:spacing w:after="0"/>
              <w:rPr>
                <w:sz w:val="20"/>
                <w:szCs w:val="20"/>
                <w:color w:val="auto"/>
              </w:rPr>
            </w:pPr>
            <w:r>
              <w:rPr>
                <w:rFonts w:ascii="Arial" w:cs="Arial" w:eastAsia="Arial" w:hAnsi="Arial"/>
                <w:sz w:val="15"/>
                <w:szCs w:val="15"/>
                <w:color w:val="auto"/>
              </w:rPr>
              <w:t>216.4</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AxoGen, Inc.</w:t>
            </w:r>
          </w:p>
        </w:tc>
        <w:tc>
          <w:tcPr>
            <w:tcW w:w="1580" w:type="dxa"/>
            <w:vAlign w:val="bottom"/>
            <w:tcBorders>
              <w:bottom w:val="single" w:sz="8" w:color="auto"/>
            </w:tcBorders>
          </w:tcPr>
          <w:p>
            <w:pPr>
              <w:jc w:val="center"/>
              <w:ind w:left="263"/>
              <w:spacing w:after="0"/>
              <w:rPr>
                <w:sz w:val="20"/>
                <w:szCs w:val="20"/>
                <w:color w:val="auto"/>
              </w:rPr>
            </w:pPr>
            <w:r>
              <w:rPr>
                <w:rFonts w:ascii="Arial" w:cs="Arial" w:eastAsia="Arial" w:hAnsi="Arial"/>
                <w:sz w:val="15"/>
                <w:szCs w:val="15"/>
                <w:color w:val="auto"/>
              </w:rPr>
              <w:t>159.0</w:t>
            </w:r>
          </w:p>
        </w:tc>
        <w:tc>
          <w:tcPr>
            <w:tcW w:w="0" w:type="dxa"/>
            <w:vAlign w:val="bottom"/>
          </w:tcPr>
          <w:p>
            <w:pPr>
              <w:spacing w:after="0"/>
              <w:rPr>
                <w:sz w:val="1"/>
                <w:szCs w:val="1"/>
                <w:color w:val="auto"/>
              </w:rPr>
            </w:pPr>
          </w:p>
        </w:tc>
      </w:tr>
      <w:tr>
        <w:trPr>
          <w:trHeight w:val="216"/>
        </w:trPr>
        <w:tc>
          <w:tcPr>
            <w:tcW w:w="2620" w:type="dxa"/>
            <w:vAlign w:val="bottom"/>
            <w:shd w:val="clear" w:color="auto" w:fill="DFE4EA"/>
          </w:tcPr>
          <w:p>
            <w:pPr>
              <w:spacing w:after="0"/>
              <w:rPr>
                <w:sz w:val="20"/>
                <w:szCs w:val="20"/>
                <w:color w:val="auto"/>
              </w:rPr>
            </w:pPr>
            <w:r>
              <w:rPr>
                <w:rFonts w:ascii="Arial" w:cs="Arial" w:eastAsia="Arial" w:hAnsi="Arial"/>
                <w:sz w:val="15"/>
                <w:szCs w:val="15"/>
                <w:color w:val="auto"/>
              </w:rPr>
              <w:t>Median</w:t>
            </w:r>
          </w:p>
        </w:tc>
        <w:tc>
          <w:tcPr>
            <w:tcW w:w="1580" w:type="dxa"/>
            <w:vAlign w:val="bottom"/>
            <w:shd w:val="clear" w:color="auto" w:fill="DFE4EA"/>
          </w:tcPr>
          <w:p>
            <w:pPr>
              <w:jc w:val="center"/>
              <w:ind w:left="263"/>
              <w:spacing w:after="0"/>
              <w:rPr>
                <w:sz w:val="20"/>
                <w:szCs w:val="20"/>
                <w:color w:val="auto"/>
              </w:rPr>
            </w:pPr>
            <w:r>
              <w:rPr>
                <w:rFonts w:ascii="Arial" w:cs="Arial" w:eastAsia="Arial" w:hAnsi="Arial"/>
                <w:sz w:val="15"/>
                <w:szCs w:val="15"/>
                <w:color w:val="auto"/>
              </w:rPr>
              <w:t>412.2</w:t>
            </w:r>
          </w:p>
        </w:tc>
        <w:tc>
          <w:tcPr>
            <w:tcW w:w="0" w:type="dxa"/>
            <w:vAlign w:val="bottom"/>
          </w:tcPr>
          <w:p>
            <w:pPr>
              <w:spacing w:after="0"/>
              <w:rPr>
                <w:sz w:val="1"/>
                <w:szCs w:val="1"/>
                <w:color w:val="auto"/>
              </w:rPr>
            </w:pPr>
          </w:p>
        </w:tc>
      </w:tr>
      <w:tr>
        <w:trPr>
          <w:trHeight w:val="341"/>
        </w:trPr>
        <w:tc>
          <w:tcPr>
            <w:tcW w:w="2620" w:type="dxa"/>
            <w:vAlign w:val="bottom"/>
          </w:tcPr>
          <w:p>
            <w:pPr>
              <w:spacing w:after="0"/>
              <w:rPr>
                <w:sz w:val="20"/>
                <w:szCs w:val="20"/>
                <w:color w:val="auto"/>
              </w:rPr>
            </w:pPr>
            <w:r>
              <w:rPr>
                <w:rFonts w:ascii="Arial" w:cs="Arial" w:eastAsia="Arial" w:hAnsi="Arial"/>
                <w:sz w:val="15"/>
                <w:szCs w:val="15"/>
                <w:b w:val="1"/>
                <w:bCs w:val="1"/>
                <w:color w:val="auto"/>
              </w:rPr>
              <w:t>Artivion’s 2025 Revenue</w:t>
            </w:r>
            <w:r>
              <w:rPr>
                <w:rFonts w:ascii="Arial" w:cs="Arial" w:eastAsia="Arial" w:hAnsi="Arial"/>
                <w:sz w:val="24"/>
                <w:szCs w:val="24"/>
                <w:b w:val="1"/>
                <w:bCs w:val="1"/>
                <w:color w:val="auto"/>
                <w:vertAlign w:val="superscript"/>
              </w:rPr>
              <w:t>(3)</w:t>
            </w:r>
          </w:p>
        </w:tc>
        <w:tc>
          <w:tcPr>
            <w:tcW w:w="1580" w:type="dxa"/>
            <w:vAlign w:val="bottom"/>
          </w:tcPr>
          <w:p>
            <w:pPr>
              <w:jc w:val="center"/>
              <w:ind w:left="263"/>
              <w:spacing w:after="0"/>
              <w:rPr>
                <w:sz w:val="20"/>
                <w:szCs w:val="20"/>
                <w:color w:val="auto"/>
              </w:rPr>
            </w:pPr>
            <w:r>
              <w:rPr>
                <w:rFonts w:ascii="Arial" w:cs="Arial" w:eastAsia="Arial" w:hAnsi="Arial"/>
                <w:sz w:val="15"/>
                <w:szCs w:val="15"/>
                <w:b w:val="1"/>
                <w:bCs w:val="1"/>
                <w:color w:val="auto"/>
              </w:rPr>
              <w:t>443.6</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220" w:hanging="219"/>
        <w:spacing w:after="0" w:line="200" w:lineRule="auto"/>
        <w:tabs>
          <w:tab w:leader="none" w:pos="22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The Committee believed that the pay practices of these companies provided a useful reference point for pay and performance comparisons at Artivion, especially considering Artivion’s anticipated growth.</w:t>
      </w:r>
    </w:p>
    <w:p>
      <w:pPr>
        <w:spacing w:after="0" w:line="49" w:lineRule="exact"/>
        <w:rPr>
          <w:rFonts w:ascii="Arial" w:cs="Arial" w:eastAsia="Arial" w:hAnsi="Arial"/>
          <w:sz w:val="22"/>
          <w:szCs w:val="22"/>
          <w:color w:val="auto"/>
          <w:vertAlign w:val="superscript"/>
        </w:rPr>
      </w:pPr>
    </w:p>
    <w:p>
      <w:pPr>
        <w:ind w:left="220" w:hanging="219"/>
        <w:spacing w:after="0"/>
        <w:tabs>
          <w:tab w:leader="none" w:pos="22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Latest FYE revenue, in millions, at the time the peer group was developed.</w:t>
      </w:r>
    </w:p>
    <w:p>
      <w:pPr>
        <w:spacing w:after="0" w:line="78"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Reflects adjusted revenue, see Appendix A for additional details on non-GAAP adjustments.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survey source was used in the 2024 Study:</w:t>
      </w:r>
    </w:p>
    <w:p>
      <w:pPr>
        <w:spacing w:after="0" w:line="129" w:lineRule="exact"/>
        <w:rPr>
          <w:sz w:val="20"/>
          <w:szCs w:val="20"/>
          <w:color w:val="auto"/>
        </w:rPr>
      </w:pPr>
    </w:p>
    <w:p>
      <w:pPr>
        <w:ind w:left="660" w:hanging="325"/>
        <w:spacing w:after="0"/>
        <w:tabs>
          <w:tab w:leader="none" w:pos="660" w:val="left"/>
        </w:tabs>
        <w:numPr>
          <w:ilvl w:val="0"/>
          <w:numId w:val="28"/>
        </w:numPr>
        <w:rPr>
          <w:rFonts w:ascii="Arial" w:cs="Arial" w:eastAsia="Arial" w:hAnsi="Arial"/>
          <w:sz w:val="12"/>
          <w:szCs w:val="12"/>
          <w:color w:val="auto"/>
        </w:rPr>
      </w:pPr>
      <w:r>
        <w:rPr>
          <w:rFonts w:ascii="Arial" w:cs="Arial" w:eastAsia="Arial" w:hAnsi="Arial"/>
          <w:sz w:val="15"/>
          <w:szCs w:val="15"/>
          <w:color w:val="auto"/>
        </w:rPr>
        <w:t>2024 Radford Executive Survey.</w:t>
      </w:r>
    </w:p>
    <w:p>
      <w:pPr>
        <w:spacing w:after="0" w:line="152" w:lineRule="exact"/>
        <w:rPr>
          <w:sz w:val="20"/>
          <w:szCs w:val="20"/>
          <w:color w:val="auto"/>
        </w:rPr>
      </w:pPr>
    </w:p>
    <w:p>
      <w:pPr>
        <w:jc w:val="both"/>
        <w:ind w:firstLine="334"/>
        <w:spacing w:after="0" w:line="245" w:lineRule="auto"/>
        <w:rPr>
          <w:sz w:val="20"/>
          <w:szCs w:val="20"/>
          <w:color w:val="auto"/>
        </w:rPr>
      </w:pPr>
      <w:r>
        <w:rPr>
          <w:rFonts w:ascii="Arial" w:cs="Arial" w:eastAsia="Arial" w:hAnsi="Arial"/>
          <w:sz w:val="15"/>
          <w:szCs w:val="15"/>
          <w:color w:val="auto"/>
        </w:rPr>
        <w:t>The peer companies were recommended by Willis Towers Watson and considered and approved by the Committee. In approving the peer group, the Committee considered the fact that each company is (or was at the time) publicly traded, operates in a similar industry, is similar in size, scope, and complexity, and is reasonably representative of our pool for executive officer talent, although Artivion routinely recruits from much larger medical device companies. The Committee also concluded that the companies are (or were at the time) within a reasonable range of Artivion’s historical, current, or projected revenues. Nonetheless, the Committee reviews and considers changes to the peer group and survey sources in connection with each year’s study. It does so to ensure that the peer group and survey sources continue to reflect appropriate reference points for Artivion. For example, in the fourth quarter of 2025, for purposes of evaluating the compensation to be paid to executives in fiscal year 2026, the Committee (at the recommendation of Willis Towers Watson) made several changes to the peer group that the Committee had used for its 2024 analysis, namely: (1) Tactile Systems, Inogen, Accuray, and STAAR Surgical Company were removed; and (2) CONMED, Inspire Medical Systems, LivaNova PLC, MiMedx Group, and PROCEPT BioRobotics Corp. were added to the peer group. These changes were made to the peer group used for benchmarking 2026 executive compensation to address, among other things, consolidation and other strategic transactions in the medical device industry in 2025, and to ensure an appropriate balance of medical device companies with whom the Company competes for talent, both in terms of revenue, projected revenue growth, market capitalization, and workforce size.</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2025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36333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34"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primary components of Artivion’s executive officer compensation program are base salary, short-term incentives, and long-term incentives. Artivion also provides executive officers with tax-deferred savings opportunities, participation in Company-wide benefits programs, and limited perquisites.</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2025 Base Salary</w:t>
      </w:r>
    </w:p>
    <w:p>
      <w:pPr>
        <w:spacing w:after="0" w:line="110"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Committee generally reviews base salary levels each February as part of its overall review and approval of the executive officer compensation program. Based on its review in late 2024 and early 2025, the Committee determined it was appropriate to increase the NEOs’ base salaries 3.0-8.4% above 2024 levels.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Comparison of 2024 and 2025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11430</wp:posOffset>
            </wp:positionV>
            <wp:extent cx="355727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57270" cy="7620"/>
                    </a:xfrm>
                    <a:prstGeom prst="rect">
                      <a:avLst/>
                    </a:prstGeom>
                    <a:noFill/>
                  </pic:spPr>
                </pic:pic>
              </a:graphicData>
            </a:graphic>
          </wp:anchor>
        </w:drawing>
      </w:r>
    </w:p>
    <w:p>
      <w:pPr>
        <w:spacing w:after="0" w:line="39" w:lineRule="exact"/>
        <w:rPr>
          <w:sz w:val="20"/>
          <w:szCs w:val="20"/>
          <w:color w:val="auto"/>
        </w:rPr>
      </w:pPr>
    </w:p>
    <w:tbl>
      <w:tblPr>
        <w:tblLayout w:type="fixed"/>
        <w:tblInd w:w="2200" w:type="dxa"/>
        <w:tblCellMar>
          <w:top w:w="0" w:type="dxa"/>
          <w:left w:w="0" w:type="dxa"/>
          <w:bottom w:w="0" w:type="dxa"/>
          <w:right w:w="0" w:type="dxa"/>
        </w:tblCellMar>
      </w:tblPr>
      <w:tr>
        <w:trPr>
          <w:trHeight w:val="174"/>
        </w:trPr>
        <w:tc>
          <w:tcPr>
            <w:tcW w:w="2020" w:type="dxa"/>
            <w:vAlign w:val="bottom"/>
          </w:tcPr>
          <w:p>
            <w:pPr>
              <w:ind w:left="780"/>
              <w:spacing w:after="0"/>
              <w:rPr>
                <w:sz w:val="20"/>
                <w:szCs w:val="20"/>
                <w:color w:val="auto"/>
              </w:rPr>
            </w:pPr>
            <w:r>
              <w:rPr>
                <w:rFonts w:ascii="Arial" w:cs="Arial" w:eastAsia="Arial" w:hAnsi="Arial"/>
                <w:sz w:val="15"/>
                <w:szCs w:val="15"/>
                <w:b w:val="1"/>
                <w:bCs w:val="1"/>
                <w:color w:val="auto"/>
              </w:rPr>
              <w:t>Executive</w:t>
            </w:r>
          </w:p>
        </w:tc>
        <w:tc>
          <w:tcPr>
            <w:tcW w:w="1360" w:type="dxa"/>
            <w:vAlign w:val="bottom"/>
          </w:tcPr>
          <w:p>
            <w:pPr>
              <w:jc w:val="center"/>
              <w:ind w:left="183"/>
              <w:spacing w:after="0"/>
              <w:rPr>
                <w:sz w:val="20"/>
                <w:szCs w:val="20"/>
                <w:color w:val="auto"/>
              </w:rPr>
            </w:pPr>
            <w:r>
              <w:rPr>
                <w:rFonts w:ascii="Arial" w:cs="Arial" w:eastAsia="Arial" w:hAnsi="Arial"/>
                <w:sz w:val="15"/>
                <w:szCs w:val="15"/>
                <w:b w:val="1"/>
                <w:bCs w:val="1"/>
                <w:color w:val="auto"/>
              </w:rPr>
              <w:t>2024</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2025</w:t>
            </w:r>
          </w:p>
        </w:tc>
        <w:tc>
          <w:tcPr>
            <w:tcW w:w="1140" w:type="dxa"/>
            <w:vAlign w:val="bottom"/>
          </w:tcPr>
          <w:p>
            <w:pPr>
              <w:ind w:left="260"/>
              <w:spacing w:after="0"/>
              <w:rPr>
                <w:sz w:val="20"/>
                <w:szCs w:val="20"/>
                <w:color w:val="auto"/>
              </w:rPr>
            </w:pPr>
            <w:r>
              <w:rPr>
                <w:rFonts w:ascii="Arial" w:cs="Arial" w:eastAsia="Arial" w:hAnsi="Arial"/>
                <w:sz w:val="15"/>
                <w:szCs w:val="15"/>
                <w:b w:val="1"/>
                <w:bCs w:val="1"/>
                <w:color w:val="auto"/>
              </w:rPr>
              <w:t>Increase</w:t>
            </w:r>
          </w:p>
        </w:tc>
      </w:tr>
      <w:tr>
        <w:trPr>
          <w:trHeight w:val="198"/>
        </w:trPr>
        <w:tc>
          <w:tcPr>
            <w:tcW w:w="2020" w:type="dxa"/>
            <w:vAlign w:val="bottom"/>
            <w:tcBorders>
              <w:bottom w:val="single" w:sz="8" w:color="auto"/>
            </w:tcBorders>
          </w:tcPr>
          <w:p>
            <w:pPr>
              <w:ind w:left="900"/>
              <w:spacing w:after="0"/>
              <w:rPr>
                <w:sz w:val="20"/>
                <w:szCs w:val="20"/>
                <w:color w:val="auto"/>
              </w:rPr>
            </w:pPr>
            <w:r>
              <w:rPr>
                <w:rFonts w:ascii="Arial" w:cs="Arial" w:eastAsia="Arial" w:hAnsi="Arial"/>
                <w:sz w:val="15"/>
                <w:szCs w:val="15"/>
                <w:b w:val="1"/>
                <w:bCs w:val="1"/>
                <w:color w:val="auto"/>
              </w:rPr>
              <w:t>Officer</w:t>
            </w:r>
          </w:p>
        </w:tc>
        <w:tc>
          <w:tcPr>
            <w:tcW w:w="1360" w:type="dxa"/>
            <w:vAlign w:val="bottom"/>
            <w:tcBorders>
              <w:bottom w:val="single" w:sz="8" w:color="auto"/>
            </w:tcBorders>
          </w:tcPr>
          <w:p>
            <w:pPr>
              <w:jc w:val="center"/>
              <w:ind w:left="183"/>
              <w:spacing w:after="0"/>
              <w:rPr>
                <w:sz w:val="20"/>
                <w:szCs w:val="20"/>
                <w:color w:val="auto"/>
              </w:rPr>
            </w:pPr>
            <w:r>
              <w:rPr>
                <w:rFonts w:ascii="Arial" w:cs="Arial" w:eastAsia="Arial" w:hAnsi="Arial"/>
                <w:sz w:val="15"/>
                <w:szCs w:val="15"/>
                <w:b w:val="1"/>
                <w:bCs w:val="1"/>
                <w:color w:val="auto"/>
                <w:w w:val="97"/>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r>
      <w:tr>
        <w:trPr>
          <w:trHeight w:val="228"/>
        </w:trPr>
        <w:tc>
          <w:tcPr>
            <w:tcW w:w="2020" w:type="dxa"/>
            <w:vAlign w:val="bottom"/>
            <w:shd w:val="clear" w:color="auto" w:fill="DFE4EA"/>
          </w:tcPr>
          <w:p>
            <w:pPr>
              <w:ind w:left="20"/>
              <w:spacing w:after="0"/>
              <w:rPr>
                <w:sz w:val="20"/>
                <w:szCs w:val="20"/>
                <w:color w:val="auto"/>
              </w:rPr>
            </w:pPr>
            <w:r>
              <w:rPr>
                <w:rFonts w:ascii="Arial" w:cs="Arial" w:eastAsia="Arial" w:hAnsi="Arial"/>
                <w:sz w:val="15"/>
                <w:szCs w:val="15"/>
                <w:color w:val="auto"/>
              </w:rPr>
              <w:t>Mackin</w:t>
            </w:r>
          </w:p>
        </w:tc>
        <w:tc>
          <w:tcPr>
            <w:tcW w:w="1360" w:type="dxa"/>
            <w:vAlign w:val="bottom"/>
            <w:shd w:val="clear" w:color="auto" w:fill="DFE4EA"/>
          </w:tcPr>
          <w:p>
            <w:pPr>
              <w:jc w:val="center"/>
              <w:ind w:left="163"/>
              <w:spacing w:after="0"/>
              <w:rPr>
                <w:sz w:val="20"/>
                <w:szCs w:val="20"/>
                <w:color w:val="auto"/>
              </w:rPr>
            </w:pPr>
            <w:r>
              <w:rPr>
                <w:rFonts w:ascii="Arial" w:cs="Arial" w:eastAsia="Arial" w:hAnsi="Arial"/>
                <w:sz w:val="15"/>
                <w:szCs w:val="15"/>
                <w:color w:val="auto"/>
              </w:rPr>
              <w:t>806,904</w:t>
            </w:r>
          </w:p>
        </w:tc>
        <w:tc>
          <w:tcPr>
            <w:tcW w:w="11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835,145</w:t>
            </w:r>
          </w:p>
        </w:tc>
        <w:tc>
          <w:tcPr>
            <w:tcW w:w="11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3.5</w:t>
            </w:r>
          </w:p>
        </w:tc>
      </w:tr>
      <w:tr>
        <w:trPr>
          <w:trHeight w:val="244"/>
        </w:trPr>
        <w:tc>
          <w:tcPr>
            <w:tcW w:w="2020" w:type="dxa"/>
            <w:vAlign w:val="bottom"/>
          </w:tcPr>
          <w:p>
            <w:pPr>
              <w:ind w:left="20"/>
              <w:spacing w:after="0" w:line="243" w:lineRule="exact"/>
              <w:rPr>
                <w:sz w:val="20"/>
                <w:szCs w:val="20"/>
                <w:color w:val="auto"/>
              </w:rPr>
            </w:pPr>
            <w:r>
              <w:rPr>
                <w:rFonts w:ascii="Arial" w:cs="Arial" w:eastAsia="Arial" w:hAnsi="Arial"/>
                <w:sz w:val="15"/>
                <w:szCs w:val="15"/>
                <w:color w:val="auto"/>
              </w:rPr>
              <w:t>Berry</w:t>
            </w:r>
            <w:r>
              <w:rPr>
                <w:rFonts w:ascii="Arial" w:cs="Arial" w:eastAsia="Arial" w:hAnsi="Arial"/>
                <w:sz w:val="24"/>
                <w:szCs w:val="24"/>
                <w:color w:val="auto"/>
                <w:vertAlign w:val="superscript"/>
              </w:rPr>
              <w:t>(1)</w:t>
            </w:r>
          </w:p>
        </w:tc>
        <w:tc>
          <w:tcPr>
            <w:tcW w:w="1360" w:type="dxa"/>
            <w:vAlign w:val="bottom"/>
          </w:tcPr>
          <w:p>
            <w:pPr>
              <w:jc w:val="center"/>
              <w:ind w:left="163"/>
              <w:spacing w:after="0"/>
              <w:rPr>
                <w:sz w:val="20"/>
                <w:szCs w:val="20"/>
                <w:color w:val="auto"/>
              </w:rPr>
            </w:pPr>
            <w:r>
              <w:rPr>
                <w:rFonts w:ascii="Arial" w:cs="Arial" w:eastAsia="Arial" w:hAnsi="Arial"/>
                <w:sz w:val="15"/>
                <w:szCs w:val="15"/>
                <w:color w:val="auto"/>
              </w:rPr>
              <w:t>500,000</w:t>
            </w:r>
          </w:p>
        </w:tc>
        <w:tc>
          <w:tcPr>
            <w:tcW w:w="1100" w:type="dxa"/>
            <w:vAlign w:val="bottom"/>
          </w:tcPr>
          <w:p>
            <w:pPr>
              <w:jc w:val="center"/>
              <w:spacing w:after="0"/>
              <w:rPr>
                <w:sz w:val="20"/>
                <w:szCs w:val="20"/>
                <w:color w:val="auto"/>
              </w:rPr>
            </w:pPr>
            <w:r>
              <w:rPr>
                <w:rFonts w:ascii="Arial" w:cs="Arial" w:eastAsia="Arial" w:hAnsi="Arial"/>
                <w:sz w:val="15"/>
                <w:szCs w:val="15"/>
                <w:color w:val="auto"/>
              </w:rPr>
              <w:t>540,000</w:t>
            </w:r>
          </w:p>
        </w:tc>
        <w:tc>
          <w:tcPr>
            <w:tcW w:w="1140" w:type="dxa"/>
            <w:vAlign w:val="bottom"/>
          </w:tcPr>
          <w:p>
            <w:pPr>
              <w:jc w:val="center"/>
              <w:spacing w:after="0"/>
              <w:rPr>
                <w:sz w:val="20"/>
                <w:szCs w:val="20"/>
                <w:color w:val="auto"/>
              </w:rPr>
            </w:pPr>
            <w:r>
              <w:rPr>
                <w:rFonts w:ascii="Arial" w:cs="Arial" w:eastAsia="Arial" w:hAnsi="Arial"/>
                <w:sz w:val="15"/>
                <w:szCs w:val="15"/>
                <w:color w:val="auto"/>
              </w:rPr>
              <w:t>8.0</w:t>
            </w:r>
          </w:p>
        </w:tc>
      </w:tr>
      <w:tr>
        <w:trPr>
          <w:trHeight w:val="220"/>
        </w:trPr>
        <w:tc>
          <w:tcPr>
            <w:tcW w:w="2020" w:type="dxa"/>
            <w:vAlign w:val="bottom"/>
            <w:shd w:val="clear" w:color="auto" w:fill="DFE4EA"/>
          </w:tcPr>
          <w:p>
            <w:pPr>
              <w:ind w:left="20"/>
              <w:spacing w:after="0"/>
              <w:rPr>
                <w:sz w:val="20"/>
                <w:szCs w:val="20"/>
                <w:color w:val="auto"/>
              </w:rPr>
            </w:pPr>
            <w:r>
              <w:rPr>
                <w:rFonts w:ascii="Arial" w:cs="Arial" w:eastAsia="Arial" w:hAnsi="Arial"/>
                <w:sz w:val="15"/>
                <w:szCs w:val="15"/>
                <w:color w:val="auto"/>
              </w:rPr>
              <w:t>Holloway</w:t>
            </w:r>
          </w:p>
        </w:tc>
        <w:tc>
          <w:tcPr>
            <w:tcW w:w="1360" w:type="dxa"/>
            <w:vAlign w:val="bottom"/>
            <w:shd w:val="clear" w:color="auto" w:fill="DFE4EA"/>
          </w:tcPr>
          <w:p>
            <w:pPr>
              <w:jc w:val="center"/>
              <w:ind w:left="163"/>
              <w:spacing w:after="0"/>
              <w:rPr>
                <w:sz w:val="20"/>
                <w:szCs w:val="20"/>
                <w:color w:val="auto"/>
              </w:rPr>
            </w:pPr>
            <w:r>
              <w:rPr>
                <w:rFonts w:ascii="Arial" w:cs="Arial" w:eastAsia="Arial" w:hAnsi="Arial"/>
                <w:sz w:val="15"/>
                <w:szCs w:val="15"/>
                <w:color w:val="auto"/>
              </w:rPr>
              <w:t>425,639</w:t>
            </w:r>
          </w:p>
        </w:tc>
        <w:tc>
          <w:tcPr>
            <w:tcW w:w="11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438,408</w:t>
            </w:r>
          </w:p>
        </w:tc>
        <w:tc>
          <w:tcPr>
            <w:tcW w:w="11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3.0</w:t>
            </w:r>
          </w:p>
        </w:tc>
      </w:tr>
      <w:tr>
        <w:trPr>
          <w:trHeight w:val="216"/>
        </w:trPr>
        <w:tc>
          <w:tcPr>
            <w:tcW w:w="2020" w:type="dxa"/>
            <w:vAlign w:val="bottom"/>
          </w:tcPr>
          <w:p>
            <w:pPr>
              <w:ind w:left="20"/>
              <w:spacing w:after="0"/>
              <w:rPr>
                <w:sz w:val="20"/>
                <w:szCs w:val="20"/>
                <w:color w:val="auto"/>
              </w:rPr>
            </w:pPr>
            <w:r>
              <w:rPr>
                <w:rFonts w:ascii="Arial" w:cs="Arial" w:eastAsia="Arial" w:hAnsi="Arial"/>
                <w:sz w:val="15"/>
                <w:szCs w:val="15"/>
                <w:color w:val="auto"/>
              </w:rPr>
              <w:t>Davis</w:t>
            </w:r>
          </w:p>
        </w:tc>
        <w:tc>
          <w:tcPr>
            <w:tcW w:w="1360" w:type="dxa"/>
            <w:vAlign w:val="bottom"/>
          </w:tcPr>
          <w:p>
            <w:pPr>
              <w:jc w:val="center"/>
              <w:ind w:left="163"/>
              <w:spacing w:after="0"/>
              <w:rPr>
                <w:sz w:val="20"/>
                <w:szCs w:val="20"/>
                <w:color w:val="auto"/>
              </w:rPr>
            </w:pPr>
            <w:r>
              <w:rPr>
                <w:rFonts w:ascii="Arial" w:cs="Arial" w:eastAsia="Arial" w:hAnsi="Arial"/>
                <w:sz w:val="15"/>
                <w:szCs w:val="15"/>
                <w:color w:val="auto"/>
              </w:rPr>
              <w:t>406,855</w:t>
            </w:r>
          </w:p>
        </w:tc>
        <w:tc>
          <w:tcPr>
            <w:tcW w:w="1100" w:type="dxa"/>
            <w:vAlign w:val="bottom"/>
          </w:tcPr>
          <w:p>
            <w:pPr>
              <w:jc w:val="center"/>
              <w:spacing w:after="0"/>
              <w:rPr>
                <w:sz w:val="20"/>
                <w:szCs w:val="20"/>
                <w:color w:val="auto"/>
              </w:rPr>
            </w:pPr>
            <w:r>
              <w:rPr>
                <w:rFonts w:ascii="Arial" w:cs="Arial" w:eastAsia="Arial" w:hAnsi="Arial"/>
                <w:sz w:val="15"/>
                <w:szCs w:val="15"/>
                <w:color w:val="auto"/>
              </w:rPr>
              <w:t>441,095</w:t>
            </w:r>
          </w:p>
        </w:tc>
        <w:tc>
          <w:tcPr>
            <w:tcW w:w="1140" w:type="dxa"/>
            <w:vAlign w:val="bottom"/>
          </w:tcPr>
          <w:p>
            <w:pPr>
              <w:jc w:val="center"/>
              <w:spacing w:after="0"/>
              <w:rPr>
                <w:sz w:val="20"/>
                <w:szCs w:val="20"/>
                <w:color w:val="auto"/>
              </w:rPr>
            </w:pPr>
            <w:r>
              <w:rPr>
                <w:rFonts w:ascii="Arial" w:cs="Arial" w:eastAsia="Arial" w:hAnsi="Arial"/>
                <w:sz w:val="15"/>
                <w:szCs w:val="15"/>
                <w:color w:val="auto"/>
              </w:rPr>
              <w:t>8.4</w:t>
            </w:r>
          </w:p>
        </w:tc>
      </w:tr>
      <w:tr>
        <w:trPr>
          <w:trHeight w:val="224"/>
        </w:trPr>
        <w:tc>
          <w:tcPr>
            <w:tcW w:w="2020" w:type="dxa"/>
            <w:vAlign w:val="bottom"/>
            <w:shd w:val="clear" w:color="auto" w:fill="DFE4EA"/>
          </w:tcPr>
          <w:p>
            <w:pPr>
              <w:ind w:left="20"/>
              <w:spacing w:after="0"/>
              <w:rPr>
                <w:sz w:val="20"/>
                <w:szCs w:val="20"/>
                <w:color w:val="auto"/>
              </w:rPr>
            </w:pPr>
            <w:r>
              <w:rPr>
                <w:rFonts w:ascii="Arial" w:cs="Arial" w:eastAsia="Arial" w:hAnsi="Arial"/>
                <w:sz w:val="15"/>
                <w:szCs w:val="15"/>
                <w:color w:val="auto"/>
              </w:rPr>
              <w:t>Stanton</w:t>
            </w:r>
          </w:p>
        </w:tc>
        <w:tc>
          <w:tcPr>
            <w:tcW w:w="1360" w:type="dxa"/>
            <w:vAlign w:val="bottom"/>
            <w:shd w:val="clear" w:color="auto" w:fill="DFE4EA"/>
          </w:tcPr>
          <w:p>
            <w:pPr>
              <w:jc w:val="center"/>
              <w:ind w:left="163"/>
              <w:spacing w:after="0"/>
              <w:rPr>
                <w:sz w:val="20"/>
                <w:szCs w:val="20"/>
                <w:color w:val="auto"/>
              </w:rPr>
            </w:pPr>
            <w:r>
              <w:rPr>
                <w:rFonts w:ascii="Arial" w:cs="Arial" w:eastAsia="Arial" w:hAnsi="Arial"/>
                <w:sz w:val="15"/>
                <w:szCs w:val="15"/>
                <w:color w:val="auto"/>
              </w:rPr>
              <w:t>409,593</w:t>
            </w:r>
          </w:p>
        </w:tc>
        <w:tc>
          <w:tcPr>
            <w:tcW w:w="11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443,929</w:t>
            </w:r>
          </w:p>
        </w:tc>
        <w:tc>
          <w:tcPr>
            <w:tcW w:w="11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8.4</w:t>
            </w:r>
          </w:p>
        </w:tc>
      </w:tr>
    </w:tbl>
    <w:p>
      <w:pPr>
        <w:spacing w:after="0" w:line="150" w:lineRule="exact"/>
        <w:rPr>
          <w:sz w:val="20"/>
          <w:szCs w:val="20"/>
          <w:color w:val="auto"/>
        </w:rPr>
      </w:pPr>
    </w:p>
    <w:p>
      <w:pPr>
        <w:jc w:val="both"/>
        <w:ind w:left="560" w:hanging="225"/>
        <w:spacing w:after="0" w:line="238" w:lineRule="auto"/>
        <w:tabs>
          <w:tab w:leader="none" w:pos="560" w:val="left"/>
        </w:tabs>
        <w:numPr>
          <w:ilvl w:val="0"/>
          <w:numId w:val="29"/>
        </w:numPr>
        <w:rPr>
          <w:rFonts w:ascii="Arial" w:cs="Arial" w:eastAsia="Arial" w:hAnsi="Arial"/>
          <w:sz w:val="21"/>
          <w:szCs w:val="21"/>
          <w:color w:val="auto"/>
          <w:vertAlign w:val="superscript"/>
        </w:rPr>
      </w:pPr>
      <w:r>
        <w:rPr>
          <w:rFonts w:ascii="Arial" w:cs="Arial" w:eastAsia="Arial" w:hAnsi="Arial"/>
          <w:sz w:val="13"/>
          <w:szCs w:val="13"/>
          <w:color w:val="auto"/>
        </w:rPr>
        <w:t>As of August 11, 2025, Mr. Berry was appointed, in addition to his existing roles as Executive Vice President, Chief Financial Officer (CFO) and Treasurer, to the role of Chief Operating Officer (COO). In connection with this appointment, and in consultation with Willis Towers Watson, the Committee approved an increase in Mr. Berry’s 2025 base salary to $540,000, an increase of 4.3% over his original 2025 base salary of $517,500, which was an increase of 3.5% over his 2024 base salary. In approving this increase, the Committee considered internal and external comps, the meaningful increase in role compared to Mr. Berry’s existing responsibilities, and the role of equity and variable compensation in Mr. Berry’s total compensation package.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Analysis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2024 Study showed that the base salaries for our NEOs were within a competitive range of 89-108% of the median for similarly situated employees at companies in the Company’s peer group. Based on input from management and in consultation with Willis Towers Watson, the Committee approved merit increases for 2025 for all executive officers of 3.0-8.4%. In approving salary increases for NEOs, the Committee considered current market positioning, both individual and Company performance during 2024, and the Company’s budget for salary increases generally for all employees.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2025 Short-Term Incentives – The 2025 Cash Bonus Plan</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February 2025, the Committee adopted the “2025 Cash Bonus Plan” as set forth above at page 27.</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Analysis – Program Design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table below shows the performance metrics set for the 2025 Cash Bonus Plan as finalized in February 2025.</w:t>
      </w:r>
    </w:p>
    <w:p>
      <w:pPr>
        <w:spacing w:after="0" w:line="173"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2025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36333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tcPr>
          <w:p>
            <w:pPr>
              <w:spacing w:after="0"/>
              <w:rPr>
                <w:sz w:val="15"/>
                <w:szCs w:val="15"/>
                <w:color w:val="auto"/>
              </w:rPr>
            </w:pPr>
          </w:p>
        </w:tc>
        <w:tc>
          <w:tcPr>
            <w:tcW w:w="1220" w:type="dxa"/>
            <w:vAlign w:val="bottom"/>
          </w:tcPr>
          <w:p>
            <w:pPr>
              <w:ind w:left="420"/>
              <w:spacing w:after="0"/>
              <w:rPr>
                <w:sz w:val="20"/>
                <w:szCs w:val="20"/>
                <w:color w:val="auto"/>
              </w:rPr>
            </w:pPr>
            <w:r>
              <w:rPr>
                <w:rFonts w:ascii="Arial" w:cs="Arial" w:eastAsia="Arial" w:hAnsi="Arial"/>
                <w:sz w:val="15"/>
                <w:szCs w:val="15"/>
                <w:b w:val="1"/>
                <w:bCs w:val="1"/>
                <w:color w:val="auto"/>
              </w:rPr>
              <w:t>Weight</w:t>
            </w: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00" w:type="dxa"/>
            <w:vAlign w:val="bottom"/>
            <w:tcBorders>
              <w:bottom w:val="single" w:sz="8" w:color="auto"/>
            </w:tcBorders>
          </w:tcPr>
          <w:p>
            <w:pPr>
              <w:ind w:left="860"/>
              <w:spacing w:after="0"/>
              <w:rPr>
                <w:sz w:val="20"/>
                <w:szCs w:val="20"/>
                <w:color w:val="auto"/>
              </w:rPr>
            </w:pPr>
            <w:r>
              <w:rPr>
                <w:rFonts w:ascii="Arial" w:cs="Arial" w:eastAsia="Arial" w:hAnsi="Arial"/>
                <w:sz w:val="15"/>
                <w:szCs w:val="15"/>
                <w:b w:val="1"/>
                <w:bCs w:val="1"/>
                <w:color w:val="auto"/>
              </w:rPr>
              <w:t>Performance Measure</w:t>
            </w:r>
          </w:p>
        </w:tc>
        <w:tc>
          <w:tcPr>
            <w:tcW w:w="122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b w:val="1"/>
                <w:bCs w:val="1"/>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Threshold</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Target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Stretch</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Maximum</w:t>
            </w:r>
          </w:p>
        </w:tc>
        <w:tc>
          <w:tcPr>
            <w:tcW w:w="0" w:type="dxa"/>
            <w:vAlign w:val="bottom"/>
          </w:tcPr>
          <w:p>
            <w:pPr>
              <w:spacing w:after="0"/>
              <w:rPr>
                <w:sz w:val="1"/>
                <w:szCs w:val="1"/>
                <w:color w:val="auto"/>
              </w:rPr>
            </w:pPr>
          </w:p>
        </w:tc>
      </w:tr>
      <w:tr>
        <w:trPr>
          <w:trHeight w:val="190"/>
        </w:trPr>
        <w:tc>
          <w:tcPr>
            <w:tcW w:w="3300" w:type="dxa"/>
            <w:vAlign w:val="bottom"/>
            <w:shd w:val="clear" w:color="auto" w:fill="DFE4EA"/>
          </w:tcPr>
          <w:p>
            <w:pPr>
              <w:spacing w:after="0"/>
              <w:rPr>
                <w:sz w:val="20"/>
                <w:szCs w:val="20"/>
                <w:color w:val="auto"/>
              </w:rPr>
            </w:pPr>
            <w:r>
              <w:rPr>
                <w:rFonts w:ascii="Arial" w:cs="Arial" w:eastAsia="Arial" w:hAnsi="Arial"/>
                <w:sz w:val="15"/>
                <w:szCs w:val="15"/>
                <w:color w:val="auto"/>
              </w:rPr>
              <w:t>Revenue Growth Rate; Constant Currency</w:t>
            </w:r>
          </w:p>
        </w:tc>
        <w:tc>
          <w:tcPr>
            <w:tcW w:w="1220" w:type="dxa"/>
            <w:vAlign w:val="bottom"/>
            <w:vMerge w:val="restart"/>
            <w:shd w:val="clear" w:color="auto" w:fill="DFE4EA"/>
          </w:tcPr>
          <w:p>
            <w:pPr>
              <w:jc w:val="center"/>
              <w:ind w:left="43"/>
              <w:spacing w:after="0"/>
              <w:rPr>
                <w:sz w:val="20"/>
                <w:szCs w:val="20"/>
                <w:color w:val="auto"/>
              </w:rPr>
            </w:pPr>
            <w:r>
              <w:rPr>
                <w:rFonts w:ascii="Arial" w:cs="Arial" w:eastAsia="Arial" w:hAnsi="Arial"/>
                <w:sz w:val="15"/>
                <w:szCs w:val="15"/>
                <w:color w:val="auto"/>
              </w:rPr>
              <w:t>50</w:t>
            </w:r>
          </w:p>
        </w:tc>
        <w:tc>
          <w:tcPr>
            <w:tcW w:w="144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8.0% growth</w:t>
            </w:r>
          </w:p>
        </w:tc>
        <w:tc>
          <w:tcPr>
            <w:tcW w:w="134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13.0% growth</w:t>
            </w:r>
          </w:p>
        </w:tc>
        <w:tc>
          <w:tcPr>
            <w:tcW w:w="136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15.0% growth</w:t>
            </w:r>
          </w:p>
        </w:tc>
        <w:tc>
          <w:tcPr>
            <w:tcW w:w="136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19.0% growth</w:t>
            </w:r>
          </w:p>
        </w:tc>
        <w:tc>
          <w:tcPr>
            <w:tcW w:w="0" w:type="dxa"/>
            <w:vAlign w:val="bottom"/>
          </w:tcPr>
          <w:p>
            <w:pPr>
              <w:spacing w:after="0"/>
              <w:rPr>
                <w:sz w:val="1"/>
                <w:szCs w:val="1"/>
                <w:color w:val="auto"/>
              </w:rPr>
            </w:pPr>
          </w:p>
        </w:tc>
      </w:tr>
      <w:tr>
        <w:trPr>
          <w:trHeight w:val="111"/>
        </w:trPr>
        <w:tc>
          <w:tcPr>
            <w:tcW w:w="3300" w:type="dxa"/>
            <w:vAlign w:val="bottom"/>
            <w:vMerge w:val="restart"/>
            <w:shd w:val="clear" w:color="auto" w:fill="DFE4EA"/>
          </w:tcPr>
          <w:p>
            <w:pPr>
              <w:ind w:left="340"/>
              <w:spacing w:after="0"/>
              <w:rPr>
                <w:sz w:val="20"/>
                <w:szCs w:val="20"/>
                <w:color w:val="auto"/>
              </w:rPr>
            </w:pPr>
            <w:r>
              <w:rPr>
                <w:rFonts w:ascii="Arial" w:cs="Arial" w:eastAsia="Arial" w:hAnsi="Arial"/>
                <w:sz w:val="15"/>
                <w:szCs w:val="15"/>
                <w:color w:val="auto"/>
              </w:rPr>
              <w:t>(2025 v. 2024)</w:t>
            </w:r>
          </w:p>
        </w:tc>
        <w:tc>
          <w:tcPr>
            <w:tcW w:w="1220" w:type="dxa"/>
            <w:vAlign w:val="bottom"/>
            <w:vMerge w:val="continue"/>
            <w:shd w:val="clear" w:color="auto" w:fill="DFE4EA"/>
          </w:tcPr>
          <w:p>
            <w:pPr>
              <w:spacing w:after="0"/>
              <w:rPr>
                <w:sz w:val="9"/>
                <w:szCs w:val="9"/>
                <w:color w:val="auto"/>
              </w:rPr>
            </w:pPr>
          </w:p>
        </w:tc>
        <w:tc>
          <w:tcPr>
            <w:tcW w:w="1440" w:type="dxa"/>
            <w:vAlign w:val="bottom"/>
            <w:vMerge w:val="continue"/>
            <w:shd w:val="clear" w:color="auto" w:fill="DFE4EA"/>
          </w:tcPr>
          <w:p>
            <w:pPr>
              <w:spacing w:after="0"/>
              <w:rPr>
                <w:sz w:val="9"/>
                <w:szCs w:val="9"/>
                <w:color w:val="auto"/>
              </w:rPr>
            </w:pPr>
          </w:p>
        </w:tc>
        <w:tc>
          <w:tcPr>
            <w:tcW w:w="1340" w:type="dxa"/>
            <w:vAlign w:val="bottom"/>
            <w:vMerge w:val="continue"/>
            <w:shd w:val="clear" w:color="auto" w:fill="DFE4EA"/>
          </w:tcPr>
          <w:p>
            <w:pPr>
              <w:spacing w:after="0"/>
              <w:rPr>
                <w:sz w:val="9"/>
                <w:szCs w:val="9"/>
                <w:color w:val="auto"/>
              </w:rPr>
            </w:pPr>
          </w:p>
        </w:tc>
        <w:tc>
          <w:tcPr>
            <w:tcW w:w="1360" w:type="dxa"/>
            <w:vAlign w:val="bottom"/>
            <w:vMerge w:val="continue"/>
            <w:shd w:val="clear" w:color="auto" w:fill="DFE4EA"/>
          </w:tcPr>
          <w:p>
            <w:pPr>
              <w:spacing w:after="0"/>
              <w:rPr>
                <w:sz w:val="9"/>
                <w:szCs w:val="9"/>
                <w:color w:val="auto"/>
              </w:rPr>
            </w:pPr>
          </w:p>
        </w:tc>
        <w:tc>
          <w:tcPr>
            <w:tcW w:w="1360" w:type="dxa"/>
            <w:vAlign w:val="bottom"/>
            <w:vMerge w:val="continue"/>
            <w:shd w:val="clear" w:color="auto" w:fill="DFE4EA"/>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00" w:type="dxa"/>
            <w:vAlign w:val="bottom"/>
            <w:vMerge w:val="continue"/>
            <w:shd w:val="clear" w:color="auto" w:fill="DFE4EA"/>
          </w:tcPr>
          <w:p>
            <w:pPr>
              <w:spacing w:after="0"/>
              <w:rPr>
                <w:sz w:val="8"/>
                <w:szCs w:val="8"/>
                <w:color w:val="auto"/>
              </w:rPr>
            </w:pPr>
          </w:p>
        </w:tc>
        <w:tc>
          <w:tcPr>
            <w:tcW w:w="1220" w:type="dxa"/>
            <w:vAlign w:val="bottom"/>
            <w:shd w:val="clear" w:color="auto" w:fill="DFE4EA"/>
          </w:tcPr>
          <w:p>
            <w:pPr>
              <w:spacing w:after="0"/>
              <w:rPr>
                <w:sz w:val="8"/>
                <w:szCs w:val="8"/>
                <w:color w:val="auto"/>
              </w:rPr>
            </w:pPr>
          </w:p>
        </w:tc>
        <w:tc>
          <w:tcPr>
            <w:tcW w:w="1440" w:type="dxa"/>
            <w:vAlign w:val="bottom"/>
            <w:shd w:val="clear" w:color="auto" w:fill="DFE4EA"/>
          </w:tcPr>
          <w:p>
            <w:pPr>
              <w:spacing w:after="0"/>
              <w:rPr>
                <w:sz w:val="8"/>
                <w:szCs w:val="8"/>
                <w:color w:val="auto"/>
              </w:rPr>
            </w:pPr>
          </w:p>
        </w:tc>
        <w:tc>
          <w:tcPr>
            <w:tcW w:w="1340" w:type="dxa"/>
            <w:vAlign w:val="bottom"/>
            <w:shd w:val="clear" w:color="auto" w:fill="DFE4EA"/>
          </w:tcPr>
          <w:p>
            <w:pPr>
              <w:spacing w:after="0"/>
              <w:rPr>
                <w:sz w:val="8"/>
                <w:szCs w:val="8"/>
                <w:color w:val="auto"/>
              </w:rPr>
            </w:pPr>
          </w:p>
        </w:tc>
        <w:tc>
          <w:tcPr>
            <w:tcW w:w="1360" w:type="dxa"/>
            <w:vAlign w:val="bottom"/>
            <w:shd w:val="clear" w:color="auto" w:fill="DFE4EA"/>
          </w:tcPr>
          <w:p>
            <w:pPr>
              <w:spacing w:after="0"/>
              <w:rPr>
                <w:sz w:val="8"/>
                <w:szCs w:val="8"/>
                <w:color w:val="auto"/>
              </w:rPr>
            </w:pPr>
          </w:p>
        </w:tc>
        <w:tc>
          <w:tcPr>
            <w:tcW w:w="1360" w:type="dxa"/>
            <w:vAlign w:val="bottom"/>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5"/>
                <w:szCs w:val="15"/>
                <w:color w:val="auto"/>
              </w:rPr>
              <w:t>Financial Metric Potential Payouts (%)</w:t>
            </w:r>
          </w:p>
        </w:tc>
        <w:tc>
          <w:tcPr>
            <w:tcW w:w="1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30</w:t>
            </w:r>
          </w:p>
        </w:tc>
        <w:tc>
          <w:tcPr>
            <w:tcW w:w="1340" w:type="dxa"/>
            <w:vAlign w:val="bottom"/>
          </w:tcPr>
          <w:p>
            <w:pPr>
              <w:jc w:val="center"/>
              <w:spacing w:after="0"/>
              <w:rPr>
                <w:sz w:val="20"/>
                <w:szCs w:val="20"/>
                <w:color w:val="auto"/>
              </w:rPr>
            </w:pPr>
            <w:r>
              <w:rPr>
                <w:rFonts w:ascii="Arial" w:cs="Arial" w:eastAsia="Arial" w:hAnsi="Arial"/>
                <w:sz w:val="15"/>
                <w:szCs w:val="15"/>
                <w:color w:val="auto"/>
              </w:rPr>
              <w:t>100</w:t>
            </w:r>
          </w:p>
        </w:tc>
        <w:tc>
          <w:tcPr>
            <w:tcW w:w="1360" w:type="dxa"/>
            <w:vAlign w:val="bottom"/>
          </w:tcPr>
          <w:p>
            <w:pPr>
              <w:jc w:val="center"/>
              <w:spacing w:after="0"/>
              <w:rPr>
                <w:sz w:val="20"/>
                <w:szCs w:val="20"/>
                <w:color w:val="auto"/>
              </w:rPr>
            </w:pPr>
            <w:r>
              <w:rPr>
                <w:rFonts w:ascii="Arial" w:cs="Arial" w:eastAsia="Arial" w:hAnsi="Arial"/>
                <w:sz w:val="15"/>
                <w:szCs w:val="15"/>
                <w:color w:val="auto"/>
              </w:rPr>
              <w:t>150</w:t>
            </w:r>
          </w:p>
        </w:tc>
        <w:tc>
          <w:tcPr>
            <w:tcW w:w="1360" w:type="dxa"/>
            <w:vAlign w:val="bottom"/>
          </w:tcPr>
          <w:p>
            <w:pPr>
              <w:jc w:val="center"/>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86"/>
        </w:trPr>
        <w:tc>
          <w:tcPr>
            <w:tcW w:w="3300" w:type="dxa"/>
            <w:vAlign w:val="bottom"/>
            <w:shd w:val="clear" w:color="auto" w:fill="DFE4EA"/>
          </w:tcPr>
          <w:p>
            <w:pPr>
              <w:spacing w:after="0"/>
              <w:rPr>
                <w:sz w:val="20"/>
                <w:szCs w:val="20"/>
                <w:color w:val="auto"/>
              </w:rPr>
            </w:pPr>
            <w:r>
              <w:rPr>
                <w:rFonts w:ascii="Arial" w:cs="Arial" w:eastAsia="Arial" w:hAnsi="Arial"/>
                <w:sz w:val="15"/>
                <w:szCs w:val="15"/>
                <w:color w:val="auto"/>
              </w:rPr>
              <w:t>Adjusted EBITDA Growth Rate; Constant</w:t>
            </w:r>
          </w:p>
        </w:tc>
        <w:tc>
          <w:tcPr>
            <w:tcW w:w="1220" w:type="dxa"/>
            <w:vAlign w:val="bottom"/>
            <w:vMerge w:val="restart"/>
            <w:shd w:val="clear" w:color="auto" w:fill="DFE4EA"/>
          </w:tcPr>
          <w:p>
            <w:pPr>
              <w:jc w:val="center"/>
              <w:ind w:left="43"/>
              <w:spacing w:after="0"/>
              <w:rPr>
                <w:sz w:val="20"/>
                <w:szCs w:val="20"/>
                <w:color w:val="auto"/>
              </w:rPr>
            </w:pPr>
            <w:r>
              <w:rPr>
                <w:rFonts w:ascii="Arial" w:cs="Arial" w:eastAsia="Arial" w:hAnsi="Arial"/>
                <w:sz w:val="15"/>
                <w:szCs w:val="15"/>
                <w:color w:val="auto"/>
              </w:rPr>
              <w:t>50</w:t>
            </w:r>
          </w:p>
        </w:tc>
        <w:tc>
          <w:tcPr>
            <w:tcW w:w="144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16.0% growth</w:t>
            </w:r>
          </w:p>
        </w:tc>
        <w:tc>
          <w:tcPr>
            <w:tcW w:w="134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26.0% growth</w:t>
            </w:r>
          </w:p>
        </w:tc>
        <w:tc>
          <w:tcPr>
            <w:tcW w:w="136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30.0% growth</w:t>
            </w:r>
          </w:p>
        </w:tc>
        <w:tc>
          <w:tcPr>
            <w:tcW w:w="136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38.0% growth</w:t>
            </w:r>
          </w:p>
        </w:tc>
        <w:tc>
          <w:tcPr>
            <w:tcW w:w="0" w:type="dxa"/>
            <w:vAlign w:val="bottom"/>
          </w:tcPr>
          <w:p>
            <w:pPr>
              <w:spacing w:after="0"/>
              <w:rPr>
                <w:sz w:val="1"/>
                <w:szCs w:val="1"/>
                <w:color w:val="auto"/>
              </w:rPr>
            </w:pPr>
          </w:p>
        </w:tc>
      </w:tr>
      <w:tr>
        <w:trPr>
          <w:trHeight w:val="111"/>
        </w:trPr>
        <w:tc>
          <w:tcPr>
            <w:tcW w:w="3300" w:type="dxa"/>
            <w:vAlign w:val="bottom"/>
            <w:vMerge w:val="restart"/>
            <w:shd w:val="clear" w:color="auto" w:fill="DFE4EA"/>
          </w:tcPr>
          <w:p>
            <w:pPr>
              <w:ind w:left="340"/>
              <w:spacing w:after="0"/>
              <w:rPr>
                <w:sz w:val="20"/>
                <w:szCs w:val="20"/>
                <w:color w:val="auto"/>
              </w:rPr>
            </w:pPr>
            <w:r>
              <w:rPr>
                <w:rFonts w:ascii="Arial" w:cs="Arial" w:eastAsia="Arial" w:hAnsi="Arial"/>
                <w:sz w:val="15"/>
                <w:szCs w:val="15"/>
                <w:color w:val="auto"/>
              </w:rPr>
              <w:t>Currency (2025 v. 2024)</w:t>
            </w:r>
          </w:p>
        </w:tc>
        <w:tc>
          <w:tcPr>
            <w:tcW w:w="1220" w:type="dxa"/>
            <w:vAlign w:val="bottom"/>
            <w:vMerge w:val="continue"/>
            <w:shd w:val="clear" w:color="auto" w:fill="DFE4EA"/>
          </w:tcPr>
          <w:p>
            <w:pPr>
              <w:spacing w:after="0"/>
              <w:rPr>
                <w:sz w:val="9"/>
                <w:szCs w:val="9"/>
                <w:color w:val="auto"/>
              </w:rPr>
            </w:pPr>
          </w:p>
        </w:tc>
        <w:tc>
          <w:tcPr>
            <w:tcW w:w="1440" w:type="dxa"/>
            <w:vAlign w:val="bottom"/>
            <w:vMerge w:val="continue"/>
            <w:shd w:val="clear" w:color="auto" w:fill="DFE4EA"/>
          </w:tcPr>
          <w:p>
            <w:pPr>
              <w:spacing w:after="0"/>
              <w:rPr>
                <w:sz w:val="9"/>
                <w:szCs w:val="9"/>
                <w:color w:val="auto"/>
              </w:rPr>
            </w:pPr>
          </w:p>
        </w:tc>
        <w:tc>
          <w:tcPr>
            <w:tcW w:w="1340" w:type="dxa"/>
            <w:vAlign w:val="bottom"/>
            <w:vMerge w:val="continue"/>
            <w:shd w:val="clear" w:color="auto" w:fill="DFE4EA"/>
          </w:tcPr>
          <w:p>
            <w:pPr>
              <w:spacing w:after="0"/>
              <w:rPr>
                <w:sz w:val="9"/>
                <w:szCs w:val="9"/>
                <w:color w:val="auto"/>
              </w:rPr>
            </w:pPr>
          </w:p>
        </w:tc>
        <w:tc>
          <w:tcPr>
            <w:tcW w:w="1360" w:type="dxa"/>
            <w:vAlign w:val="bottom"/>
            <w:vMerge w:val="continue"/>
            <w:shd w:val="clear" w:color="auto" w:fill="DFE4EA"/>
          </w:tcPr>
          <w:p>
            <w:pPr>
              <w:spacing w:after="0"/>
              <w:rPr>
                <w:sz w:val="9"/>
                <w:szCs w:val="9"/>
                <w:color w:val="auto"/>
              </w:rPr>
            </w:pPr>
          </w:p>
        </w:tc>
        <w:tc>
          <w:tcPr>
            <w:tcW w:w="1360" w:type="dxa"/>
            <w:vAlign w:val="bottom"/>
            <w:vMerge w:val="continue"/>
            <w:shd w:val="clear" w:color="auto" w:fill="DFE4EA"/>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00" w:type="dxa"/>
            <w:vAlign w:val="bottom"/>
            <w:vMerge w:val="continue"/>
            <w:shd w:val="clear" w:color="auto" w:fill="DFE4EA"/>
          </w:tcPr>
          <w:p>
            <w:pPr>
              <w:spacing w:after="0"/>
              <w:rPr>
                <w:sz w:val="8"/>
                <w:szCs w:val="8"/>
                <w:color w:val="auto"/>
              </w:rPr>
            </w:pPr>
          </w:p>
        </w:tc>
        <w:tc>
          <w:tcPr>
            <w:tcW w:w="1220" w:type="dxa"/>
            <w:vAlign w:val="bottom"/>
            <w:shd w:val="clear" w:color="auto" w:fill="DFE4EA"/>
          </w:tcPr>
          <w:p>
            <w:pPr>
              <w:spacing w:after="0"/>
              <w:rPr>
                <w:sz w:val="8"/>
                <w:szCs w:val="8"/>
                <w:color w:val="auto"/>
              </w:rPr>
            </w:pPr>
          </w:p>
        </w:tc>
        <w:tc>
          <w:tcPr>
            <w:tcW w:w="1440" w:type="dxa"/>
            <w:vAlign w:val="bottom"/>
            <w:shd w:val="clear" w:color="auto" w:fill="DFE4EA"/>
          </w:tcPr>
          <w:p>
            <w:pPr>
              <w:spacing w:after="0"/>
              <w:rPr>
                <w:sz w:val="8"/>
                <w:szCs w:val="8"/>
                <w:color w:val="auto"/>
              </w:rPr>
            </w:pPr>
          </w:p>
        </w:tc>
        <w:tc>
          <w:tcPr>
            <w:tcW w:w="1340" w:type="dxa"/>
            <w:vAlign w:val="bottom"/>
            <w:shd w:val="clear" w:color="auto" w:fill="DFE4EA"/>
          </w:tcPr>
          <w:p>
            <w:pPr>
              <w:spacing w:after="0"/>
              <w:rPr>
                <w:sz w:val="8"/>
                <w:szCs w:val="8"/>
                <w:color w:val="auto"/>
              </w:rPr>
            </w:pPr>
          </w:p>
        </w:tc>
        <w:tc>
          <w:tcPr>
            <w:tcW w:w="1360" w:type="dxa"/>
            <w:vAlign w:val="bottom"/>
            <w:shd w:val="clear" w:color="auto" w:fill="DFE4EA"/>
          </w:tcPr>
          <w:p>
            <w:pPr>
              <w:spacing w:after="0"/>
              <w:rPr>
                <w:sz w:val="8"/>
                <w:szCs w:val="8"/>
                <w:color w:val="auto"/>
              </w:rPr>
            </w:pPr>
          </w:p>
        </w:tc>
        <w:tc>
          <w:tcPr>
            <w:tcW w:w="1360" w:type="dxa"/>
            <w:vAlign w:val="bottom"/>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20"/>
                <w:szCs w:val="20"/>
                <w:color w:val="auto"/>
              </w:rPr>
            </w:pPr>
            <w:r>
              <w:rPr>
                <w:rFonts w:ascii="Arial" w:cs="Arial" w:eastAsia="Arial" w:hAnsi="Arial"/>
                <w:sz w:val="15"/>
                <w:szCs w:val="15"/>
                <w:color w:val="auto"/>
              </w:rPr>
              <w:t>Financial Metric Potential Payouts (%)</w:t>
            </w:r>
          </w:p>
        </w:tc>
        <w:tc>
          <w:tcPr>
            <w:tcW w:w="1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30</w:t>
            </w:r>
          </w:p>
        </w:tc>
        <w:tc>
          <w:tcPr>
            <w:tcW w:w="1340" w:type="dxa"/>
            <w:vAlign w:val="bottom"/>
          </w:tcPr>
          <w:p>
            <w:pPr>
              <w:jc w:val="center"/>
              <w:spacing w:after="0"/>
              <w:rPr>
                <w:sz w:val="20"/>
                <w:szCs w:val="20"/>
                <w:color w:val="auto"/>
              </w:rPr>
            </w:pPr>
            <w:r>
              <w:rPr>
                <w:rFonts w:ascii="Arial" w:cs="Arial" w:eastAsia="Arial" w:hAnsi="Arial"/>
                <w:sz w:val="15"/>
                <w:szCs w:val="15"/>
                <w:color w:val="auto"/>
              </w:rPr>
              <w:t>100</w:t>
            </w:r>
          </w:p>
        </w:tc>
        <w:tc>
          <w:tcPr>
            <w:tcW w:w="1360" w:type="dxa"/>
            <w:vAlign w:val="bottom"/>
          </w:tcPr>
          <w:p>
            <w:pPr>
              <w:jc w:val="center"/>
              <w:spacing w:after="0"/>
              <w:rPr>
                <w:sz w:val="20"/>
                <w:szCs w:val="20"/>
                <w:color w:val="auto"/>
              </w:rPr>
            </w:pPr>
            <w:r>
              <w:rPr>
                <w:rFonts w:ascii="Arial" w:cs="Arial" w:eastAsia="Arial" w:hAnsi="Arial"/>
                <w:sz w:val="15"/>
                <w:szCs w:val="15"/>
                <w:color w:val="auto"/>
              </w:rPr>
              <w:t>150</w:t>
            </w:r>
          </w:p>
        </w:tc>
        <w:tc>
          <w:tcPr>
            <w:tcW w:w="1360" w:type="dxa"/>
            <w:vAlign w:val="bottom"/>
          </w:tcPr>
          <w:p>
            <w:pPr>
              <w:jc w:val="center"/>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6363335" cy="2501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63335" cy="250190"/>
                    </a:xfrm>
                    <a:prstGeom prst="rect">
                      <a:avLst/>
                    </a:prstGeom>
                    <a:noFill/>
                  </pic:spPr>
                </pic:pic>
              </a:graphicData>
            </a:graphic>
          </wp:anchor>
        </w:drawing>
      </w:r>
    </w:p>
    <w:p>
      <w:pPr>
        <w:ind w:right="140" w:firstLine="1"/>
        <w:spacing w:after="0" w:line="285" w:lineRule="auto"/>
        <w:tabs>
          <w:tab w:leader="none" w:pos="94"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final payout can be increased or decreased, up to 20%, based on an individual executive officer’s performance, subject to an overall cap of 200%.</w:t>
      </w:r>
    </w:p>
    <w:p>
      <w:pPr>
        <w:spacing w:after="0" w:line="112"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Committee believed that the 2025 threshold and target performance levels for the constant currency revenue and constant currency adjusted EBITDA growth metrics were challenging and would drive stockholder value creation. In addition, the 2025 revenue and adjusted EBITDA target performance levels were within the range of 2025 guidance publicly announced by Artivion in the first quarter 2025.</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34" w:name="page35"/>
    <w:bookmarkEnd w:id="34"/>
    <w:p>
      <w:pPr>
        <w:ind w:left="340"/>
        <w:spacing w:after="0"/>
        <w:rPr>
          <w:sz w:val="20"/>
          <w:szCs w:val="20"/>
          <w:color w:val="auto"/>
        </w:rPr>
      </w:pPr>
      <w:r>
        <w:rPr>
          <w:rFonts w:ascii="Arial" w:cs="Arial" w:eastAsia="Arial" w:hAnsi="Arial"/>
          <w:sz w:val="15"/>
          <w:szCs w:val="15"/>
          <w:color w:val="auto"/>
        </w:rPr>
        <w:t>In arriving at its decision to approve the 2025 final metrics and payouts, the Committee took into consideration the following:</w:t>
      </w:r>
    </w:p>
    <w:p>
      <w:pPr>
        <w:spacing w:after="0" w:line="152" w:lineRule="exact"/>
        <w:rPr>
          <w:sz w:val="20"/>
          <w:szCs w:val="20"/>
          <w:color w:val="auto"/>
        </w:rPr>
      </w:pPr>
    </w:p>
    <w:p>
      <w:pPr>
        <w:ind w:left="660" w:hanging="325"/>
        <w:spacing w:after="0" w:line="285" w:lineRule="auto"/>
        <w:tabs>
          <w:tab w:leader="none" w:pos="660" w:val="left"/>
        </w:tabs>
        <w:numPr>
          <w:ilvl w:val="0"/>
          <w:numId w:val="31"/>
        </w:numPr>
        <w:rPr>
          <w:rFonts w:ascii="Arial" w:cs="Arial" w:eastAsia="Arial" w:hAnsi="Arial"/>
          <w:sz w:val="12"/>
          <w:szCs w:val="12"/>
          <w:color w:val="auto"/>
        </w:rPr>
      </w:pPr>
      <w:r>
        <w:rPr>
          <w:rFonts w:ascii="Arial" w:cs="Arial" w:eastAsia="Arial" w:hAnsi="Arial"/>
          <w:sz w:val="15"/>
          <w:szCs w:val="15"/>
          <w:color w:val="auto"/>
        </w:rPr>
        <w:t>The Committee’s belief that the core plan design and its pay-for-performance orientation achieved the objectives of the Committee’s Compensation Philosophy;</w:t>
      </w:r>
    </w:p>
    <w:p>
      <w:pPr>
        <w:spacing w:after="0" w:line="89" w:lineRule="exact"/>
        <w:rPr>
          <w:rFonts w:ascii="Arial" w:cs="Arial" w:eastAsia="Arial" w:hAnsi="Arial"/>
          <w:sz w:val="12"/>
          <w:szCs w:val="12"/>
          <w:color w:val="auto"/>
        </w:rPr>
      </w:pPr>
    </w:p>
    <w:p>
      <w:pPr>
        <w:jc w:val="both"/>
        <w:ind w:left="660" w:hanging="325"/>
        <w:spacing w:after="0" w:line="263" w:lineRule="auto"/>
        <w:tabs>
          <w:tab w:leader="none" w:pos="660" w:val="left"/>
        </w:tabs>
        <w:numPr>
          <w:ilvl w:val="0"/>
          <w:numId w:val="31"/>
        </w:numPr>
        <w:rPr>
          <w:rFonts w:ascii="Arial" w:cs="Arial" w:eastAsia="Arial" w:hAnsi="Arial"/>
          <w:sz w:val="12"/>
          <w:szCs w:val="12"/>
          <w:color w:val="auto"/>
        </w:rPr>
      </w:pPr>
      <w:r>
        <w:rPr>
          <w:rFonts w:ascii="Arial" w:cs="Arial" w:eastAsia="Arial" w:hAnsi="Arial"/>
          <w:sz w:val="15"/>
          <w:szCs w:val="15"/>
          <w:color w:val="auto"/>
        </w:rPr>
        <w:t>The Committee’s belief that the achievement of target constant currency revenue growth and constant currency adjusted EBITDA growth was key to incentivizing executive officers to achieve Company performance that will further the Company’s strategic business plan and ultimately deliver value to stockholders, without encouraging excessive risk taking by executive officers;</w:t>
      </w:r>
    </w:p>
    <w:p>
      <w:pPr>
        <w:spacing w:after="0" w:line="117" w:lineRule="exact"/>
        <w:rPr>
          <w:rFonts w:ascii="Arial" w:cs="Arial" w:eastAsia="Arial" w:hAnsi="Arial"/>
          <w:sz w:val="12"/>
          <w:szCs w:val="12"/>
          <w:color w:val="auto"/>
        </w:rPr>
      </w:pPr>
    </w:p>
    <w:p>
      <w:pPr>
        <w:ind w:left="660" w:hanging="325"/>
        <w:spacing w:after="0"/>
        <w:tabs>
          <w:tab w:leader="none" w:pos="660" w:val="left"/>
        </w:tabs>
        <w:numPr>
          <w:ilvl w:val="0"/>
          <w:numId w:val="31"/>
        </w:numPr>
        <w:rPr>
          <w:rFonts w:ascii="Arial" w:cs="Arial" w:eastAsia="Arial" w:hAnsi="Arial"/>
          <w:sz w:val="12"/>
          <w:szCs w:val="12"/>
          <w:color w:val="auto"/>
        </w:rPr>
      </w:pPr>
      <w:r>
        <w:rPr>
          <w:rFonts w:ascii="Arial" w:cs="Arial" w:eastAsia="Arial" w:hAnsi="Arial"/>
          <w:sz w:val="15"/>
          <w:szCs w:val="15"/>
          <w:color w:val="auto"/>
        </w:rPr>
        <w:t>The plan’s similarity to the short-term incentive plans of the Company’s peer group companies;</w:t>
      </w:r>
    </w:p>
    <w:p>
      <w:pPr>
        <w:spacing w:after="0" w:line="152" w:lineRule="exact"/>
        <w:rPr>
          <w:rFonts w:ascii="Arial" w:cs="Arial" w:eastAsia="Arial" w:hAnsi="Arial"/>
          <w:sz w:val="12"/>
          <w:szCs w:val="12"/>
          <w:color w:val="auto"/>
        </w:rPr>
      </w:pPr>
    </w:p>
    <w:p>
      <w:pPr>
        <w:ind w:left="660" w:hanging="325"/>
        <w:spacing w:after="0"/>
        <w:tabs>
          <w:tab w:leader="none" w:pos="660" w:val="left"/>
        </w:tabs>
        <w:numPr>
          <w:ilvl w:val="0"/>
          <w:numId w:val="31"/>
        </w:numPr>
        <w:rPr>
          <w:rFonts w:ascii="Arial" w:cs="Arial" w:eastAsia="Arial" w:hAnsi="Arial"/>
          <w:sz w:val="12"/>
          <w:szCs w:val="12"/>
          <w:color w:val="auto"/>
        </w:rPr>
      </w:pPr>
      <w:r>
        <w:rPr>
          <w:rFonts w:ascii="Arial" w:cs="Arial" w:eastAsia="Arial" w:hAnsi="Arial"/>
          <w:sz w:val="15"/>
          <w:szCs w:val="15"/>
          <w:color w:val="auto"/>
        </w:rPr>
        <w:t>Artivion’s 2024 performance, and whether any changes to performance metrics were required to achieve 2025 business goals; and</w:t>
      </w:r>
    </w:p>
    <w:p>
      <w:pPr>
        <w:spacing w:after="0" w:line="152" w:lineRule="exact"/>
        <w:rPr>
          <w:rFonts w:ascii="Arial" w:cs="Arial" w:eastAsia="Arial" w:hAnsi="Arial"/>
          <w:sz w:val="12"/>
          <w:szCs w:val="12"/>
          <w:color w:val="auto"/>
        </w:rPr>
      </w:pPr>
    </w:p>
    <w:p>
      <w:pPr>
        <w:ind w:left="660" w:hanging="325"/>
        <w:spacing w:after="0" w:line="285" w:lineRule="auto"/>
        <w:tabs>
          <w:tab w:leader="none" w:pos="660" w:val="left"/>
        </w:tabs>
        <w:numPr>
          <w:ilvl w:val="0"/>
          <w:numId w:val="31"/>
        </w:numPr>
        <w:rPr>
          <w:rFonts w:ascii="Arial" w:cs="Arial" w:eastAsia="Arial" w:hAnsi="Arial"/>
          <w:sz w:val="12"/>
          <w:szCs w:val="12"/>
          <w:color w:val="auto"/>
        </w:rPr>
      </w:pPr>
      <w:r>
        <w:rPr>
          <w:rFonts w:ascii="Arial" w:cs="Arial" w:eastAsia="Arial" w:hAnsi="Arial"/>
          <w:sz w:val="15"/>
          <w:szCs w:val="15"/>
          <w:color w:val="auto"/>
        </w:rPr>
        <w:t>Recent historical payout levels that the Committee believed indicated that performance goals over the last few years had been set at reasonably challenging levels.</w:t>
      </w:r>
    </w:p>
    <w:p>
      <w:pPr>
        <w:spacing w:after="0" w:line="101" w:lineRule="exact"/>
        <w:rPr>
          <w:sz w:val="20"/>
          <w:szCs w:val="20"/>
          <w:color w:val="auto"/>
        </w:rPr>
      </w:pPr>
    </w:p>
    <w:p>
      <w:pPr>
        <w:jc w:val="both"/>
        <w:ind w:firstLine="334"/>
        <w:spacing w:after="0" w:line="271" w:lineRule="auto"/>
        <w:rPr>
          <w:sz w:val="20"/>
          <w:szCs w:val="20"/>
          <w:color w:val="auto"/>
        </w:rPr>
      </w:pPr>
      <w:r>
        <w:rPr>
          <w:rFonts w:ascii="Arial" w:cs="Arial" w:eastAsia="Arial" w:hAnsi="Arial"/>
          <w:sz w:val="15"/>
          <w:szCs w:val="15"/>
          <w:color w:val="auto"/>
        </w:rPr>
        <w:t>Overall, the Committee believed the 2025 Cash Bonus Plan was appropriately incentivizing given the executive officers’ roles and authority within Artivion, and that the size of the incentives was appropriate based on the 2024 peer group information and internal pay equity considerations.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Analysis – Plan Payout</w:t>
      </w:r>
    </w:p>
    <w:p>
      <w:pPr>
        <w:spacing w:after="0" w:line="120"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As set forth above at page 27, the 2025 Cash Bonus Plan payouts in early 2026 were based on actual financial performance results of Artivion relative to the predetermined goals, there were no other adjustments made to the incentive plan payouts during 2025.</w:t>
      </w:r>
    </w:p>
    <w:p>
      <w:pPr>
        <w:spacing w:after="0" w:line="89"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Mr. Mackin’s 2025 Cash Bonus Plan payout in early 2026 was also based on the same considerations. The Board of Directors reviewed Mr. Mackin’s individual performance relative to his individual goals for 2025 and, after receiving the Committee’s certification of the 2025 performance metrics, approved the Chief Executive Officer’s bonus payout as set forth below.</w:t>
      </w:r>
    </w:p>
    <w:p>
      <w:pPr>
        <w:spacing w:after="0" w:line="106"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following tables show the performance results for the 2025 performance metrics and the actual and target payouts for each NEO, adjusted by the Committee as noted above and without any personal-performance modifications to the short-term incentive paid to each NEO.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2025 Annual Incentive Program (Cash Bonus Plan)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Actual vs.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1270</wp:posOffset>
            </wp:positionV>
            <wp:extent cx="53695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69560" cy="7620"/>
                    </a:xfrm>
                    <a:prstGeom prst="rect">
                      <a:avLst/>
                    </a:prstGeom>
                    <a:noFill/>
                  </pic:spPr>
                </pic:pic>
              </a:graphicData>
            </a:graphic>
          </wp:anchor>
        </w:drawing>
      </w:r>
    </w:p>
    <w:p>
      <w:pPr>
        <w:spacing w:after="0" w:line="23"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Payout</w:t>
            </w:r>
          </w:p>
        </w:tc>
        <w:tc>
          <w:tcPr>
            <w:tcW w:w="0" w:type="dxa"/>
            <w:vAlign w:val="bottom"/>
          </w:tcPr>
          <w:p>
            <w:pPr>
              <w:spacing w:after="0"/>
              <w:rPr>
                <w:sz w:val="1"/>
                <w:szCs w:val="1"/>
                <w:color w:val="auto"/>
              </w:rPr>
            </w:pPr>
          </w:p>
        </w:tc>
      </w:tr>
      <w:tr>
        <w:trPr>
          <w:trHeight w:val="174"/>
        </w:trPr>
        <w:tc>
          <w:tcPr>
            <w:tcW w:w="3640" w:type="dxa"/>
            <w:vAlign w:val="bottom"/>
          </w:tcPr>
          <w:p>
            <w:pPr>
              <w:spacing w:after="0"/>
              <w:rPr>
                <w:sz w:val="15"/>
                <w:szCs w:val="15"/>
                <w:color w:val="auto"/>
              </w:rPr>
            </w:pP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Weight</w:t>
            </w: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Actual</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rPr>
              <w:t>Target</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 of Target</w:t>
            </w:r>
          </w:p>
        </w:tc>
        <w:tc>
          <w:tcPr>
            <w:tcW w:w="0" w:type="dxa"/>
            <w:vAlign w:val="bottom"/>
          </w:tcPr>
          <w:p>
            <w:pPr>
              <w:spacing w:after="0"/>
              <w:rPr>
                <w:sz w:val="1"/>
                <w:szCs w:val="1"/>
                <w:color w:val="auto"/>
              </w:rPr>
            </w:pPr>
          </w:p>
        </w:tc>
      </w:tr>
      <w:tr>
        <w:trPr>
          <w:trHeight w:val="198"/>
        </w:trPr>
        <w:tc>
          <w:tcPr>
            <w:tcW w:w="3640" w:type="dxa"/>
            <w:vAlign w:val="bottom"/>
            <w:tcBorders>
              <w:bottom w:val="single" w:sz="8" w:color="auto"/>
            </w:tcBorders>
          </w:tcPr>
          <w:p>
            <w:pPr>
              <w:ind w:left="980"/>
              <w:spacing w:after="0"/>
              <w:rPr>
                <w:sz w:val="20"/>
                <w:szCs w:val="20"/>
                <w:color w:val="auto"/>
              </w:rPr>
            </w:pPr>
            <w:r>
              <w:rPr>
                <w:rFonts w:ascii="Arial" w:cs="Arial" w:eastAsia="Arial" w:hAnsi="Arial"/>
                <w:sz w:val="15"/>
                <w:szCs w:val="15"/>
                <w:b w:val="1"/>
                <w:bCs w:val="1"/>
                <w:color w:val="auto"/>
              </w:rPr>
              <w:t>Performance Measure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Performance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Performance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0"/>
        </w:trPr>
        <w:tc>
          <w:tcPr>
            <w:tcW w:w="3640" w:type="dxa"/>
            <w:vAlign w:val="bottom"/>
            <w:shd w:val="clear" w:color="auto" w:fill="DFE4EA"/>
          </w:tcPr>
          <w:p>
            <w:pPr>
              <w:spacing w:after="0"/>
              <w:rPr>
                <w:sz w:val="20"/>
                <w:szCs w:val="20"/>
                <w:color w:val="auto"/>
              </w:rPr>
            </w:pPr>
            <w:r>
              <w:rPr>
                <w:rFonts w:ascii="Arial" w:cs="Arial" w:eastAsia="Arial" w:hAnsi="Arial"/>
                <w:sz w:val="15"/>
                <w:szCs w:val="15"/>
                <w:color w:val="auto"/>
              </w:rPr>
              <w:t>Revenue Growth Rate; Constant Currency (2025 v.</w:t>
            </w:r>
          </w:p>
        </w:tc>
        <w:tc>
          <w:tcPr>
            <w:tcW w:w="88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50.0</w:t>
            </w:r>
          </w:p>
        </w:tc>
        <w:tc>
          <w:tcPr>
            <w:tcW w:w="140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13.2% growth</w:t>
            </w:r>
          </w:p>
        </w:tc>
        <w:tc>
          <w:tcPr>
            <w:tcW w:w="136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13.0% growth</w:t>
            </w:r>
          </w:p>
        </w:tc>
        <w:tc>
          <w:tcPr>
            <w:tcW w:w="118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104.8</w:t>
            </w:r>
          </w:p>
        </w:tc>
        <w:tc>
          <w:tcPr>
            <w:tcW w:w="0" w:type="dxa"/>
            <w:vAlign w:val="bottom"/>
          </w:tcPr>
          <w:p>
            <w:pPr>
              <w:spacing w:after="0"/>
              <w:rPr>
                <w:sz w:val="1"/>
                <w:szCs w:val="1"/>
                <w:color w:val="auto"/>
              </w:rPr>
            </w:pPr>
          </w:p>
        </w:tc>
      </w:tr>
      <w:tr>
        <w:trPr>
          <w:trHeight w:val="111"/>
        </w:trPr>
        <w:tc>
          <w:tcPr>
            <w:tcW w:w="3640" w:type="dxa"/>
            <w:vAlign w:val="bottom"/>
            <w:vMerge w:val="restart"/>
            <w:shd w:val="clear" w:color="auto" w:fill="DFE4EA"/>
          </w:tcPr>
          <w:p>
            <w:pPr>
              <w:ind w:left="340"/>
              <w:spacing w:after="0"/>
              <w:rPr>
                <w:sz w:val="20"/>
                <w:szCs w:val="20"/>
                <w:color w:val="auto"/>
              </w:rPr>
            </w:pPr>
            <w:r>
              <w:rPr>
                <w:rFonts w:ascii="Arial" w:cs="Arial" w:eastAsia="Arial" w:hAnsi="Arial"/>
                <w:sz w:val="15"/>
                <w:szCs w:val="15"/>
                <w:color w:val="auto"/>
              </w:rPr>
              <w:t>2024)</w:t>
            </w:r>
          </w:p>
        </w:tc>
        <w:tc>
          <w:tcPr>
            <w:tcW w:w="880" w:type="dxa"/>
            <w:vAlign w:val="bottom"/>
            <w:vMerge w:val="continue"/>
            <w:shd w:val="clear" w:color="auto" w:fill="DFE4EA"/>
          </w:tcPr>
          <w:p>
            <w:pPr>
              <w:spacing w:after="0"/>
              <w:rPr>
                <w:sz w:val="9"/>
                <w:szCs w:val="9"/>
                <w:color w:val="auto"/>
              </w:rPr>
            </w:pPr>
          </w:p>
        </w:tc>
        <w:tc>
          <w:tcPr>
            <w:tcW w:w="1400" w:type="dxa"/>
            <w:vAlign w:val="bottom"/>
            <w:vMerge w:val="continue"/>
            <w:shd w:val="clear" w:color="auto" w:fill="DFE4EA"/>
          </w:tcPr>
          <w:p>
            <w:pPr>
              <w:spacing w:after="0"/>
              <w:rPr>
                <w:sz w:val="9"/>
                <w:szCs w:val="9"/>
                <w:color w:val="auto"/>
              </w:rPr>
            </w:pPr>
          </w:p>
        </w:tc>
        <w:tc>
          <w:tcPr>
            <w:tcW w:w="1360" w:type="dxa"/>
            <w:vAlign w:val="bottom"/>
            <w:vMerge w:val="continue"/>
            <w:shd w:val="clear" w:color="auto" w:fill="DFE4EA"/>
          </w:tcPr>
          <w:p>
            <w:pPr>
              <w:spacing w:after="0"/>
              <w:rPr>
                <w:sz w:val="9"/>
                <w:szCs w:val="9"/>
                <w:color w:val="auto"/>
              </w:rPr>
            </w:pPr>
          </w:p>
        </w:tc>
        <w:tc>
          <w:tcPr>
            <w:tcW w:w="1180" w:type="dxa"/>
            <w:vAlign w:val="bottom"/>
            <w:vMerge w:val="continue"/>
            <w:shd w:val="clear" w:color="auto" w:fill="DFE4EA"/>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640" w:type="dxa"/>
            <w:vAlign w:val="bottom"/>
            <w:vMerge w:val="continue"/>
            <w:shd w:val="clear" w:color="auto" w:fill="DFE4EA"/>
          </w:tcPr>
          <w:p>
            <w:pPr>
              <w:spacing w:after="0"/>
              <w:rPr>
                <w:sz w:val="8"/>
                <w:szCs w:val="8"/>
                <w:color w:val="auto"/>
              </w:rPr>
            </w:pPr>
          </w:p>
        </w:tc>
        <w:tc>
          <w:tcPr>
            <w:tcW w:w="880" w:type="dxa"/>
            <w:vAlign w:val="bottom"/>
            <w:shd w:val="clear" w:color="auto" w:fill="DFE4EA"/>
          </w:tcPr>
          <w:p>
            <w:pPr>
              <w:spacing w:after="0"/>
              <w:rPr>
                <w:sz w:val="8"/>
                <w:szCs w:val="8"/>
                <w:color w:val="auto"/>
              </w:rPr>
            </w:pPr>
          </w:p>
        </w:tc>
        <w:tc>
          <w:tcPr>
            <w:tcW w:w="1400" w:type="dxa"/>
            <w:vAlign w:val="bottom"/>
            <w:shd w:val="clear" w:color="auto" w:fill="DFE4EA"/>
          </w:tcPr>
          <w:p>
            <w:pPr>
              <w:spacing w:after="0"/>
              <w:rPr>
                <w:sz w:val="8"/>
                <w:szCs w:val="8"/>
                <w:color w:val="auto"/>
              </w:rPr>
            </w:pPr>
          </w:p>
        </w:tc>
        <w:tc>
          <w:tcPr>
            <w:tcW w:w="1360" w:type="dxa"/>
            <w:vAlign w:val="bottom"/>
            <w:shd w:val="clear" w:color="auto" w:fill="DFE4EA"/>
          </w:tcPr>
          <w:p>
            <w:pPr>
              <w:spacing w:after="0"/>
              <w:rPr>
                <w:sz w:val="8"/>
                <w:szCs w:val="8"/>
                <w:color w:val="auto"/>
              </w:rPr>
            </w:pPr>
          </w:p>
        </w:tc>
        <w:tc>
          <w:tcPr>
            <w:tcW w:w="1180" w:type="dxa"/>
            <w:vAlign w:val="bottom"/>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rPr>
                <w:sz w:val="20"/>
                <w:szCs w:val="20"/>
                <w:color w:val="auto"/>
              </w:rPr>
            </w:pPr>
            <w:r>
              <w:rPr>
                <w:rFonts w:ascii="Arial" w:cs="Arial" w:eastAsia="Arial" w:hAnsi="Arial"/>
                <w:sz w:val="15"/>
                <w:szCs w:val="15"/>
                <w:color w:val="auto"/>
              </w:rPr>
              <w:t>Adjusted EBITDA Growth Rate; Constant Currency</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auto"/>
              </w:rPr>
              <w:t>50.0</w:t>
            </w:r>
          </w:p>
        </w:tc>
        <w:tc>
          <w:tcPr>
            <w:tcW w:w="1400" w:type="dxa"/>
            <w:vAlign w:val="bottom"/>
            <w:vMerge w:val="restart"/>
          </w:tcPr>
          <w:p>
            <w:pPr>
              <w:jc w:val="center"/>
              <w:spacing w:after="0"/>
              <w:rPr>
                <w:sz w:val="20"/>
                <w:szCs w:val="20"/>
                <w:color w:val="auto"/>
              </w:rPr>
            </w:pPr>
            <w:r>
              <w:rPr>
                <w:rFonts w:ascii="Arial" w:cs="Arial" w:eastAsia="Arial" w:hAnsi="Arial"/>
                <w:sz w:val="15"/>
                <w:szCs w:val="15"/>
                <w:color w:val="auto"/>
              </w:rPr>
              <w:t>28.6% growth</w:t>
            </w:r>
          </w:p>
        </w:tc>
        <w:tc>
          <w:tcPr>
            <w:tcW w:w="1360" w:type="dxa"/>
            <w:vAlign w:val="bottom"/>
            <w:vMerge w:val="restart"/>
          </w:tcPr>
          <w:p>
            <w:pPr>
              <w:jc w:val="center"/>
              <w:spacing w:after="0"/>
              <w:rPr>
                <w:sz w:val="20"/>
                <w:szCs w:val="20"/>
                <w:color w:val="auto"/>
              </w:rPr>
            </w:pPr>
            <w:r>
              <w:rPr>
                <w:rFonts w:ascii="Arial" w:cs="Arial" w:eastAsia="Arial" w:hAnsi="Arial"/>
                <w:sz w:val="15"/>
                <w:szCs w:val="15"/>
                <w:color w:val="auto"/>
              </w:rPr>
              <w:t>26.0% growth</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rPr>
              <w:t>132.5</w:t>
            </w:r>
          </w:p>
        </w:tc>
        <w:tc>
          <w:tcPr>
            <w:tcW w:w="0" w:type="dxa"/>
            <w:vAlign w:val="bottom"/>
          </w:tcPr>
          <w:p>
            <w:pPr>
              <w:spacing w:after="0"/>
              <w:rPr>
                <w:sz w:val="1"/>
                <w:szCs w:val="1"/>
                <w:color w:val="auto"/>
              </w:rPr>
            </w:pPr>
          </w:p>
        </w:tc>
      </w:tr>
      <w:tr>
        <w:trPr>
          <w:trHeight w:val="111"/>
        </w:trPr>
        <w:tc>
          <w:tcPr>
            <w:tcW w:w="3640" w:type="dxa"/>
            <w:vAlign w:val="bottom"/>
            <w:vMerge w:val="restart"/>
          </w:tcPr>
          <w:p>
            <w:pPr>
              <w:ind w:left="340"/>
              <w:spacing w:after="0"/>
              <w:rPr>
                <w:sz w:val="20"/>
                <w:szCs w:val="20"/>
                <w:color w:val="auto"/>
              </w:rPr>
            </w:pPr>
            <w:r>
              <w:rPr>
                <w:rFonts w:ascii="Arial" w:cs="Arial" w:eastAsia="Arial" w:hAnsi="Arial"/>
                <w:sz w:val="15"/>
                <w:szCs w:val="15"/>
                <w:color w:val="auto"/>
              </w:rPr>
              <w:t>(2025 v. 2024)</w:t>
            </w:r>
          </w:p>
        </w:tc>
        <w:tc>
          <w:tcPr>
            <w:tcW w:w="8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6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5080</wp:posOffset>
            </wp:positionV>
            <wp:extent cx="5369560" cy="250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69560" cy="250190"/>
                    </a:xfrm>
                    <a:prstGeom prst="rect">
                      <a:avLst/>
                    </a:prstGeom>
                    <a:noFill/>
                  </pic:spPr>
                </pic:pic>
              </a:graphicData>
            </a:graphic>
          </wp:anchor>
        </w:drawing>
      </w:r>
    </w:p>
    <w:p>
      <w:pPr>
        <w:ind w:left="880" w:hanging="96"/>
        <w:spacing w:after="0"/>
        <w:tabs>
          <w:tab w:leader="none" w:pos="8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final payout can be increased up to 20%, based on an individual executive officer’s performance.</w:t>
      </w:r>
    </w:p>
    <w:p>
      <w:pPr>
        <w:spacing w:after="0" w:line="15" w:lineRule="exact"/>
        <w:rPr>
          <w:rFonts w:ascii="Arial" w:cs="Arial" w:eastAsia="Arial" w:hAnsi="Arial"/>
          <w:sz w:val="15"/>
          <w:szCs w:val="15"/>
          <w:color w:val="auto"/>
        </w:rPr>
      </w:pPr>
    </w:p>
    <w:p>
      <w:pPr>
        <w:ind w:left="880" w:hanging="96"/>
        <w:spacing w:after="0"/>
        <w:tabs>
          <w:tab w:leader="none" w:pos="8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final payout cannot exceed 200% of target payout.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See Appendix A for further details regarding the constant currency growth and constant currency adjusted EBITDA growth measures.</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35" w:name="page36"/>
    <w:bookmarkEnd w:id="35"/>
    <w:p>
      <w:pPr>
        <w:jc w:val="center"/>
        <w:ind w:left="1760"/>
        <w:spacing w:after="0"/>
        <w:rPr>
          <w:sz w:val="20"/>
          <w:szCs w:val="20"/>
          <w:color w:val="auto"/>
        </w:rPr>
      </w:pPr>
      <w:r>
        <w:rPr>
          <w:rFonts w:ascii="Arial" w:cs="Arial" w:eastAsia="Arial" w:hAnsi="Arial"/>
          <w:sz w:val="15"/>
          <w:szCs w:val="15"/>
          <w:b w:val="1"/>
          <w:bCs w:val="1"/>
          <w:color w:val="auto"/>
        </w:rPr>
        <w:t>2025 Annual Incentive Program (Cash Bonus Plan)</w:t>
      </w:r>
    </w:p>
    <w:p>
      <w:pPr>
        <w:spacing w:after="0" w:line="17" w:lineRule="exact"/>
        <w:rPr>
          <w:sz w:val="20"/>
          <w:szCs w:val="20"/>
          <w:color w:val="auto"/>
        </w:rPr>
      </w:pPr>
    </w:p>
    <w:p>
      <w:pPr>
        <w:jc w:val="center"/>
        <w:ind w:left="1760"/>
        <w:spacing w:after="0"/>
        <w:rPr>
          <w:sz w:val="20"/>
          <w:szCs w:val="20"/>
          <w:color w:val="auto"/>
        </w:rPr>
      </w:pPr>
      <w:r>
        <w:rPr>
          <w:rFonts w:ascii="Arial" w:cs="Arial" w:eastAsia="Arial" w:hAnsi="Arial"/>
          <w:sz w:val="15"/>
          <w:szCs w:val="15"/>
          <w:b w:val="1"/>
          <w:bCs w:val="1"/>
          <w:color w:val="auto"/>
        </w:rPr>
        <w:t>Actual vs. Target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1329055</wp:posOffset>
            </wp:positionH>
            <wp:positionV relativeFrom="paragraph">
              <wp:posOffset>1270</wp:posOffset>
            </wp:positionV>
            <wp:extent cx="476504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65040" cy="7620"/>
                    </a:xfrm>
                    <a:prstGeom prst="rect">
                      <a:avLst/>
                    </a:prstGeom>
                    <a:noFill/>
                  </pic:spPr>
                </pic:pic>
              </a:graphicData>
            </a:graphic>
          </wp:anchor>
        </w:drawing>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174"/>
        </w:trPr>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40" w:type="dxa"/>
            <w:vAlign w:val="bottom"/>
          </w:tcPr>
          <w:p>
            <w:pPr>
              <w:jc w:val="center"/>
              <w:ind w:left="23"/>
              <w:spacing w:after="0"/>
              <w:rPr>
                <w:sz w:val="20"/>
                <w:szCs w:val="20"/>
                <w:color w:val="auto"/>
              </w:rPr>
            </w:pPr>
            <w:r>
              <w:rPr>
                <w:rFonts w:ascii="Arial" w:cs="Arial" w:eastAsia="Arial" w:hAnsi="Arial"/>
                <w:sz w:val="15"/>
                <w:szCs w:val="15"/>
                <w:b w:val="1"/>
                <w:bCs w:val="1"/>
                <w:color w:val="auto"/>
              </w:rPr>
              <w:t>Company</w:t>
            </w:r>
          </w:p>
        </w:tc>
        <w:tc>
          <w:tcPr>
            <w:tcW w:w="14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4"/>
        </w:trPr>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40" w:type="dxa"/>
            <w:vAlign w:val="bottom"/>
          </w:tcPr>
          <w:p>
            <w:pPr>
              <w:jc w:val="center"/>
              <w:ind w:left="23"/>
              <w:spacing w:after="0"/>
              <w:rPr>
                <w:sz w:val="20"/>
                <w:szCs w:val="20"/>
                <w:color w:val="auto"/>
              </w:rPr>
            </w:pPr>
            <w:r>
              <w:rPr>
                <w:rFonts w:ascii="Arial" w:cs="Arial" w:eastAsia="Arial" w:hAnsi="Arial"/>
                <w:sz w:val="15"/>
                <w:szCs w:val="15"/>
                <w:b w:val="1"/>
                <w:bCs w:val="1"/>
                <w:color w:val="auto"/>
              </w:rPr>
              <w:t>Performance</w:t>
            </w:r>
          </w:p>
        </w:tc>
        <w:tc>
          <w:tcPr>
            <w:tcW w:w="1420" w:type="dxa"/>
            <w:vAlign w:val="bottom"/>
          </w:tcPr>
          <w:p>
            <w:pPr>
              <w:jc w:val="center"/>
              <w:ind w:right="3"/>
              <w:spacing w:after="0"/>
              <w:rPr>
                <w:sz w:val="20"/>
                <w:szCs w:val="20"/>
                <w:color w:val="auto"/>
              </w:rPr>
            </w:pPr>
            <w:r>
              <w:rPr>
                <w:rFonts w:ascii="Arial" w:cs="Arial" w:eastAsia="Arial" w:hAnsi="Arial"/>
                <w:sz w:val="15"/>
                <w:szCs w:val="15"/>
                <w:b w:val="1"/>
                <w:bCs w:val="1"/>
                <w:color w:val="auto"/>
              </w:rPr>
              <w:t>Personal</w:t>
            </w:r>
          </w:p>
        </w:tc>
        <w:tc>
          <w:tcPr>
            <w:tcW w:w="1500" w:type="dxa"/>
            <w:vAlign w:val="bottom"/>
          </w:tcPr>
          <w:p>
            <w:pPr>
              <w:spacing w:after="0"/>
              <w:rPr>
                <w:sz w:val="15"/>
                <w:szCs w:val="15"/>
                <w:color w:val="auto"/>
              </w:rPr>
            </w:pPr>
          </w:p>
        </w:tc>
      </w:tr>
      <w:tr>
        <w:trPr>
          <w:trHeight w:val="174"/>
        </w:trPr>
        <w:tc>
          <w:tcPr>
            <w:tcW w:w="1800" w:type="dxa"/>
            <w:vAlign w:val="bottom"/>
          </w:tcPr>
          <w:p>
            <w:pPr>
              <w:spacing w:after="0"/>
              <w:rPr>
                <w:sz w:val="15"/>
                <w:szCs w:val="15"/>
                <w:color w:val="auto"/>
              </w:rPr>
            </w:pPr>
          </w:p>
        </w:tc>
        <w:tc>
          <w:tcPr>
            <w:tcW w:w="1380" w:type="dxa"/>
            <w:vAlign w:val="bottom"/>
          </w:tcPr>
          <w:p>
            <w:pPr>
              <w:jc w:val="center"/>
              <w:ind w:right="43"/>
              <w:spacing w:after="0"/>
              <w:rPr>
                <w:sz w:val="20"/>
                <w:szCs w:val="20"/>
                <w:color w:val="auto"/>
              </w:rPr>
            </w:pPr>
            <w:r>
              <w:rPr>
                <w:rFonts w:ascii="Arial" w:cs="Arial" w:eastAsia="Arial" w:hAnsi="Arial"/>
                <w:sz w:val="15"/>
                <w:szCs w:val="15"/>
                <w:b w:val="1"/>
                <w:bCs w:val="1"/>
                <w:color w:val="auto"/>
              </w:rPr>
              <w:t>Actual</w:t>
            </w:r>
          </w:p>
        </w:tc>
        <w:tc>
          <w:tcPr>
            <w:tcW w:w="1340" w:type="dxa"/>
            <w:vAlign w:val="bottom"/>
          </w:tcPr>
          <w:p>
            <w:pPr>
              <w:jc w:val="center"/>
              <w:ind w:left="83"/>
              <w:spacing w:after="0"/>
              <w:rPr>
                <w:sz w:val="20"/>
                <w:szCs w:val="20"/>
                <w:color w:val="auto"/>
              </w:rPr>
            </w:pPr>
            <w:r>
              <w:rPr>
                <w:rFonts w:ascii="Arial" w:cs="Arial" w:eastAsia="Arial" w:hAnsi="Arial"/>
                <w:sz w:val="15"/>
                <w:szCs w:val="15"/>
                <w:b w:val="1"/>
                <w:bCs w:val="1"/>
                <w:color w:val="auto"/>
              </w:rPr>
              <w:t>Target</w:t>
            </w:r>
          </w:p>
        </w:tc>
        <w:tc>
          <w:tcPr>
            <w:tcW w:w="1740" w:type="dxa"/>
            <w:vAlign w:val="bottom"/>
          </w:tcPr>
          <w:p>
            <w:pPr>
              <w:jc w:val="center"/>
              <w:ind w:left="3"/>
              <w:spacing w:after="0"/>
              <w:rPr>
                <w:sz w:val="20"/>
                <w:szCs w:val="20"/>
                <w:color w:val="auto"/>
              </w:rPr>
            </w:pPr>
            <w:r>
              <w:rPr>
                <w:rFonts w:ascii="Arial" w:cs="Arial" w:eastAsia="Arial" w:hAnsi="Arial"/>
                <w:sz w:val="15"/>
                <w:szCs w:val="15"/>
                <w:b w:val="1"/>
                <w:bCs w:val="1"/>
                <w:color w:val="auto"/>
              </w:rPr>
              <w:t>Adjusted Payout</w:t>
            </w:r>
          </w:p>
        </w:tc>
        <w:tc>
          <w:tcPr>
            <w:tcW w:w="1420" w:type="dxa"/>
            <w:vAlign w:val="bottom"/>
          </w:tcPr>
          <w:p>
            <w:pPr>
              <w:jc w:val="center"/>
              <w:ind w:right="3"/>
              <w:spacing w:after="0"/>
              <w:rPr>
                <w:sz w:val="20"/>
                <w:szCs w:val="20"/>
                <w:color w:val="auto"/>
              </w:rPr>
            </w:pPr>
            <w:r>
              <w:rPr>
                <w:rFonts w:ascii="Arial" w:cs="Arial" w:eastAsia="Arial" w:hAnsi="Arial"/>
                <w:sz w:val="15"/>
                <w:szCs w:val="15"/>
                <w:b w:val="1"/>
                <w:bCs w:val="1"/>
                <w:color w:val="auto"/>
              </w:rPr>
              <w:t>Performance</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w w:val="99"/>
              </w:rPr>
              <w:t>Total Payout</w:t>
            </w:r>
          </w:p>
        </w:tc>
      </w:tr>
      <w:tr>
        <w:trPr>
          <w:trHeight w:val="174"/>
        </w:trPr>
        <w:tc>
          <w:tcPr>
            <w:tcW w:w="1800" w:type="dxa"/>
            <w:vAlign w:val="bottom"/>
          </w:tcPr>
          <w:p>
            <w:pPr>
              <w:spacing w:after="0"/>
              <w:rPr>
                <w:sz w:val="15"/>
                <w:szCs w:val="15"/>
                <w:color w:val="auto"/>
              </w:rPr>
            </w:pPr>
          </w:p>
        </w:tc>
        <w:tc>
          <w:tcPr>
            <w:tcW w:w="1380" w:type="dxa"/>
            <w:vAlign w:val="bottom"/>
          </w:tcPr>
          <w:p>
            <w:pPr>
              <w:jc w:val="center"/>
              <w:ind w:right="43"/>
              <w:spacing w:after="0"/>
              <w:rPr>
                <w:sz w:val="20"/>
                <w:szCs w:val="20"/>
                <w:color w:val="auto"/>
              </w:rPr>
            </w:pPr>
            <w:r>
              <w:rPr>
                <w:rFonts w:ascii="Arial" w:cs="Arial" w:eastAsia="Arial" w:hAnsi="Arial"/>
                <w:sz w:val="15"/>
                <w:szCs w:val="15"/>
                <w:b w:val="1"/>
                <w:bCs w:val="1"/>
                <w:color w:val="auto"/>
                <w:w w:val="99"/>
              </w:rPr>
              <w:t>Payout</w:t>
            </w:r>
          </w:p>
        </w:tc>
        <w:tc>
          <w:tcPr>
            <w:tcW w:w="1340" w:type="dxa"/>
            <w:vAlign w:val="bottom"/>
          </w:tcPr>
          <w:p>
            <w:pPr>
              <w:jc w:val="center"/>
              <w:ind w:left="103"/>
              <w:spacing w:after="0"/>
              <w:rPr>
                <w:sz w:val="20"/>
                <w:szCs w:val="20"/>
                <w:color w:val="auto"/>
              </w:rPr>
            </w:pPr>
            <w:r>
              <w:rPr>
                <w:rFonts w:ascii="Arial" w:cs="Arial" w:eastAsia="Arial" w:hAnsi="Arial"/>
                <w:sz w:val="15"/>
                <w:szCs w:val="15"/>
                <w:b w:val="1"/>
                <w:bCs w:val="1"/>
                <w:color w:val="auto"/>
              </w:rPr>
              <w:t>Payout</w:t>
            </w:r>
          </w:p>
        </w:tc>
        <w:tc>
          <w:tcPr>
            <w:tcW w:w="1740" w:type="dxa"/>
            <w:vAlign w:val="bottom"/>
          </w:tcPr>
          <w:p>
            <w:pPr>
              <w:jc w:val="center"/>
              <w:ind w:left="23"/>
              <w:spacing w:after="0"/>
              <w:rPr>
                <w:sz w:val="20"/>
                <w:szCs w:val="20"/>
                <w:color w:val="auto"/>
              </w:rPr>
            </w:pPr>
            <w:r>
              <w:rPr>
                <w:rFonts w:ascii="Arial" w:cs="Arial" w:eastAsia="Arial" w:hAnsi="Arial"/>
                <w:sz w:val="15"/>
                <w:szCs w:val="15"/>
                <w:b w:val="1"/>
                <w:bCs w:val="1"/>
                <w:color w:val="auto"/>
              </w:rPr>
              <w:t>% of Target</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rPr>
              <w:t>Modifier</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rPr>
              <w:t>% of Target</w:t>
            </w:r>
          </w:p>
        </w:tc>
      </w:tr>
      <w:tr>
        <w:trPr>
          <w:trHeight w:val="198"/>
        </w:trPr>
        <w:tc>
          <w:tcPr>
            <w:tcW w:w="180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Executive Officer</w:t>
            </w: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97"/>
              </w:rPr>
              <w:t>($)</w:t>
            </w:r>
          </w:p>
        </w:tc>
        <w:tc>
          <w:tcPr>
            <w:tcW w:w="1340" w:type="dxa"/>
            <w:vAlign w:val="bottom"/>
            <w:tcBorders>
              <w:bottom w:val="single" w:sz="8" w:color="auto"/>
            </w:tcBorders>
          </w:tcPr>
          <w:p>
            <w:pPr>
              <w:jc w:val="center"/>
              <w:ind w:left="103"/>
              <w:spacing w:after="0"/>
              <w:rPr>
                <w:sz w:val="20"/>
                <w:szCs w:val="20"/>
                <w:color w:val="auto"/>
              </w:rPr>
            </w:pPr>
            <w:r>
              <w:rPr>
                <w:rFonts w:ascii="Arial" w:cs="Arial" w:eastAsia="Arial" w:hAnsi="Arial"/>
                <w:sz w:val="15"/>
                <w:szCs w:val="15"/>
                <w:b w:val="1"/>
                <w:bCs w:val="1"/>
                <w:color w:val="auto"/>
              </w:rPr>
              <w:t>($)</w:t>
            </w:r>
          </w:p>
        </w:tc>
        <w:tc>
          <w:tcPr>
            <w:tcW w:w="174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b w:val="1"/>
                <w:bCs w:val="1"/>
                <w:color w:val="auto"/>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r>
      <w:tr>
        <w:trPr>
          <w:trHeight w:val="228"/>
        </w:trPr>
        <w:tc>
          <w:tcPr>
            <w:tcW w:w="1800" w:type="dxa"/>
            <w:vAlign w:val="bottom"/>
            <w:shd w:val="clear" w:color="auto" w:fill="DFE4EA"/>
          </w:tcPr>
          <w:p>
            <w:pPr>
              <w:spacing w:after="0"/>
              <w:rPr>
                <w:sz w:val="20"/>
                <w:szCs w:val="20"/>
                <w:color w:val="auto"/>
              </w:rPr>
            </w:pPr>
            <w:r>
              <w:rPr>
                <w:rFonts w:ascii="Arial" w:cs="Arial" w:eastAsia="Arial" w:hAnsi="Arial"/>
                <w:sz w:val="15"/>
                <w:szCs w:val="15"/>
                <w:color w:val="auto"/>
              </w:rPr>
              <w:t>Mackin</w:t>
            </w:r>
          </w:p>
        </w:tc>
        <w:tc>
          <w:tcPr>
            <w:tcW w:w="1380" w:type="dxa"/>
            <w:vAlign w:val="bottom"/>
            <w:shd w:val="clear" w:color="auto" w:fill="DFE4EA"/>
          </w:tcPr>
          <w:p>
            <w:pPr>
              <w:jc w:val="center"/>
              <w:ind w:right="63"/>
              <w:spacing w:after="0"/>
              <w:rPr>
                <w:sz w:val="20"/>
                <w:szCs w:val="20"/>
                <w:color w:val="auto"/>
              </w:rPr>
            </w:pPr>
            <w:r>
              <w:rPr>
                <w:rFonts w:ascii="Arial" w:cs="Arial" w:eastAsia="Arial" w:hAnsi="Arial"/>
                <w:sz w:val="15"/>
                <w:szCs w:val="15"/>
                <w:color w:val="auto"/>
              </w:rPr>
              <w:t>991,368</w:t>
            </w:r>
          </w:p>
        </w:tc>
        <w:tc>
          <w:tcPr>
            <w:tcW w:w="1340" w:type="dxa"/>
            <w:vAlign w:val="bottom"/>
            <w:shd w:val="clear" w:color="auto" w:fill="DFE4EA"/>
          </w:tcPr>
          <w:p>
            <w:pPr>
              <w:jc w:val="center"/>
              <w:ind w:left="103"/>
              <w:spacing w:after="0"/>
              <w:rPr>
                <w:sz w:val="20"/>
                <w:szCs w:val="20"/>
                <w:color w:val="auto"/>
              </w:rPr>
            </w:pPr>
            <w:r>
              <w:rPr>
                <w:rFonts w:ascii="Arial" w:cs="Arial" w:eastAsia="Arial" w:hAnsi="Arial"/>
                <w:sz w:val="15"/>
                <w:szCs w:val="15"/>
                <w:color w:val="auto"/>
              </w:rPr>
              <w:t>835,145</w:t>
            </w:r>
          </w:p>
        </w:tc>
        <w:tc>
          <w:tcPr>
            <w:tcW w:w="1740" w:type="dxa"/>
            <w:vAlign w:val="bottom"/>
            <w:shd w:val="clear" w:color="auto" w:fill="DFE4EA"/>
          </w:tcPr>
          <w:p>
            <w:pPr>
              <w:jc w:val="center"/>
              <w:ind w:left="23"/>
              <w:spacing w:after="0"/>
              <w:rPr>
                <w:sz w:val="20"/>
                <w:szCs w:val="20"/>
                <w:color w:val="auto"/>
              </w:rPr>
            </w:pPr>
            <w:r>
              <w:rPr>
                <w:rFonts w:ascii="Arial" w:cs="Arial" w:eastAsia="Arial" w:hAnsi="Arial"/>
                <w:sz w:val="15"/>
                <w:szCs w:val="15"/>
                <w:color w:val="auto"/>
                <w:w w:val="95"/>
              </w:rPr>
              <w:t>118.7</w:t>
            </w:r>
          </w:p>
        </w:tc>
        <w:tc>
          <w:tcPr>
            <w:tcW w:w="1420" w:type="dxa"/>
            <w:vAlign w:val="bottom"/>
            <w:shd w:val="clear" w:color="auto" w:fill="DFE4EA"/>
          </w:tcPr>
          <w:p>
            <w:pPr>
              <w:jc w:val="center"/>
              <w:ind w:right="3"/>
              <w:spacing w:after="0"/>
              <w:rPr>
                <w:sz w:val="20"/>
                <w:szCs w:val="20"/>
                <w:color w:val="auto"/>
              </w:rPr>
            </w:pPr>
            <w:r>
              <w:rPr>
                <w:rFonts w:ascii="Arial" w:cs="Arial" w:eastAsia="Arial" w:hAnsi="Arial"/>
                <w:sz w:val="15"/>
                <w:szCs w:val="15"/>
                <w:color w:val="auto"/>
              </w:rPr>
              <w:t>0.0</w:t>
            </w:r>
          </w:p>
        </w:tc>
        <w:tc>
          <w:tcPr>
            <w:tcW w:w="15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118.7</w:t>
            </w:r>
          </w:p>
        </w:tc>
      </w:tr>
      <w:tr>
        <w:trPr>
          <w:trHeight w:val="216"/>
        </w:trPr>
        <w:tc>
          <w:tcPr>
            <w:tcW w:w="1800" w:type="dxa"/>
            <w:vAlign w:val="bottom"/>
          </w:tcPr>
          <w:p>
            <w:pPr>
              <w:spacing w:after="0"/>
              <w:rPr>
                <w:sz w:val="20"/>
                <w:szCs w:val="20"/>
                <w:color w:val="auto"/>
              </w:rPr>
            </w:pPr>
            <w:r>
              <w:rPr>
                <w:rFonts w:ascii="Arial" w:cs="Arial" w:eastAsia="Arial" w:hAnsi="Arial"/>
                <w:sz w:val="15"/>
                <w:szCs w:val="15"/>
                <w:color w:val="auto"/>
              </w:rPr>
              <w:t>Berry</w:t>
            </w:r>
          </w:p>
        </w:tc>
        <w:tc>
          <w:tcPr>
            <w:tcW w:w="1380" w:type="dxa"/>
            <w:vAlign w:val="bottom"/>
          </w:tcPr>
          <w:p>
            <w:pPr>
              <w:jc w:val="center"/>
              <w:ind w:right="63"/>
              <w:spacing w:after="0"/>
              <w:rPr>
                <w:sz w:val="20"/>
                <w:szCs w:val="20"/>
                <w:color w:val="auto"/>
              </w:rPr>
            </w:pPr>
            <w:r>
              <w:rPr>
                <w:rFonts w:ascii="Arial" w:cs="Arial" w:eastAsia="Arial" w:hAnsi="Arial"/>
                <w:sz w:val="15"/>
                <w:szCs w:val="15"/>
                <w:color w:val="auto"/>
              </w:rPr>
              <w:t>400,194</w:t>
            </w:r>
          </w:p>
        </w:tc>
        <w:tc>
          <w:tcPr>
            <w:tcW w:w="1340" w:type="dxa"/>
            <w:vAlign w:val="bottom"/>
          </w:tcPr>
          <w:p>
            <w:pPr>
              <w:jc w:val="center"/>
              <w:ind w:left="103"/>
              <w:spacing w:after="0"/>
              <w:rPr>
                <w:sz w:val="20"/>
                <w:szCs w:val="20"/>
                <w:color w:val="auto"/>
              </w:rPr>
            </w:pPr>
            <w:r>
              <w:rPr>
                <w:rFonts w:ascii="Arial" w:cs="Arial" w:eastAsia="Arial" w:hAnsi="Arial"/>
                <w:sz w:val="15"/>
                <w:szCs w:val="15"/>
                <w:color w:val="auto"/>
              </w:rPr>
              <w:t>337,130</w:t>
            </w:r>
          </w:p>
        </w:tc>
        <w:tc>
          <w:tcPr>
            <w:tcW w:w="1740" w:type="dxa"/>
            <w:vAlign w:val="bottom"/>
          </w:tcPr>
          <w:p>
            <w:pPr>
              <w:jc w:val="center"/>
              <w:ind w:left="23"/>
              <w:spacing w:after="0"/>
              <w:rPr>
                <w:sz w:val="20"/>
                <w:szCs w:val="20"/>
                <w:color w:val="auto"/>
              </w:rPr>
            </w:pPr>
            <w:r>
              <w:rPr>
                <w:rFonts w:ascii="Arial" w:cs="Arial" w:eastAsia="Arial" w:hAnsi="Arial"/>
                <w:sz w:val="15"/>
                <w:szCs w:val="15"/>
                <w:color w:val="auto"/>
                <w:w w:val="95"/>
              </w:rPr>
              <w:t>118.7</w:t>
            </w:r>
          </w:p>
        </w:tc>
        <w:tc>
          <w:tcPr>
            <w:tcW w:w="1420" w:type="dxa"/>
            <w:vAlign w:val="bottom"/>
          </w:tcPr>
          <w:p>
            <w:pPr>
              <w:jc w:val="center"/>
              <w:ind w:right="3"/>
              <w:spacing w:after="0"/>
              <w:rPr>
                <w:sz w:val="20"/>
                <w:szCs w:val="20"/>
                <w:color w:val="auto"/>
              </w:rPr>
            </w:pPr>
            <w:r>
              <w:rPr>
                <w:rFonts w:ascii="Arial" w:cs="Arial" w:eastAsia="Arial" w:hAnsi="Arial"/>
                <w:sz w:val="15"/>
                <w:szCs w:val="15"/>
                <w:color w:val="auto"/>
              </w:rPr>
              <w:t>0.0</w:t>
            </w:r>
          </w:p>
        </w:tc>
        <w:tc>
          <w:tcPr>
            <w:tcW w:w="1500" w:type="dxa"/>
            <w:vAlign w:val="bottom"/>
          </w:tcPr>
          <w:p>
            <w:pPr>
              <w:jc w:val="center"/>
              <w:spacing w:after="0"/>
              <w:rPr>
                <w:sz w:val="20"/>
                <w:szCs w:val="20"/>
                <w:color w:val="auto"/>
              </w:rPr>
            </w:pPr>
            <w:r>
              <w:rPr>
                <w:rFonts w:ascii="Arial" w:cs="Arial" w:eastAsia="Arial" w:hAnsi="Arial"/>
                <w:sz w:val="15"/>
                <w:szCs w:val="15"/>
                <w:color w:val="auto"/>
              </w:rPr>
              <w:t>118.7</w:t>
            </w:r>
          </w:p>
        </w:tc>
      </w:tr>
      <w:tr>
        <w:trPr>
          <w:trHeight w:val="224"/>
        </w:trPr>
        <w:tc>
          <w:tcPr>
            <w:tcW w:w="1800" w:type="dxa"/>
            <w:vAlign w:val="bottom"/>
            <w:shd w:val="clear" w:color="auto" w:fill="DFE4EA"/>
          </w:tcPr>
          <w:p>
            <w:pPr>
              <w:spacing w:after="0"/>
              <w:rPr>
                <w:sz w:val="20"/>
                <w:szCs w:val="20"/>
                <w:color w:val="auto"/>
              </w:rPr>
            </w:pPr>
            <w:r>
              <w:rPr>
                <w:rFonts w:ascii="Arial" w:cs="Arial" w:eastAsia="Arial" w:hAnsi="Arial"/>
                <w:sz w:val="15"/>
                <w:szCs w:val="15"/>
                <w:color w:val="auto"/>
              </w:rPr>
              <w:t>Stanton</w:t>
            </w:r>
          </w:p>
        </w:tc>
        <w:tc>
          <w:tcPr>
            <w:tcW w:w="1380" w:type="dxa"/>
            <w:vAlign w:val="bottom"/>
            <w:shd w:val="clear" w:color="auto" w:fill="DFE4EA"/>
          </w:tcPr>
          <w:p>
            <w:pPr>
              <w:jc w:val="center"/>
              <w:ind w:right="63"/>
              <w:spacing w:after="0"/>
              <w:rPr>
                <w:sz w:val="20"/>
                <w:szCs w:val="20"/>
                <w:color w:val="auto"/>
              </w:rPr>
            </w:pPr>
            <w:r>
              <w:rPr>
                <w:rFonts w:ascii="Arial" w:cs="Arial" w:eastAsia="Arial" w:hAnsi="Arial"/>
                <w:sz w:val="15"/>
                <w:szCs w:val="15"/>
                <w:color w:val="auto"/>
              </w:rPr>
              <w:t>263,485</w:t>
            </w:r>
          </w:p>
        </w:tc>
        <w:tc>
          <w:tcPr>
            <w:tcW w:w="1340" w:type="dxa"/>
            <w:vAlign w:val="bottom"/>
            <w:shd w:val="clear" w:color="auto" w:fill="DFE4EA"/>
          </w:tcPr>
          <w:p>
            <w:pPr>
              <w:jc w:val="center"/>
              <w:ind w:left="103"/>
              <w:spacing w:after="0"/>
              <w:rPr>
                <w:sz w:val="20"/>
                <w:szCs w:val="20"/>
                <w:color w:val="auto"/>
              </w:rPr>
            </w:pPr>
            <w:r>
              <w:rPr>
                <w:rFonts w:ascii="Arial" w:cs="Arial" w:eastAsia="Arial" w:hAnsi="Arial"/>
                <w:sz w:val="15"/>
                <w:szCs w:val="15"/>
                <w:color w:val="auto"/>
              </w:rPr>
              <w:t>221,964</w:t>
            </w:r>
          </w:p>
        </w:tc>
        <w:tc>
          <w:tcPr>
            <w:tcW w:w="1740" w:type="dxa"/>
            <w:vAlign w:val="bottom"/>
            <w:shd w:val="clear" w:color="auto" w:fill="DFE4EA"/>
          </w:tcPr>
          <w:p>
            <w:pPr>
              <w:jc w:val="center"/>
              <w:ind w:left="23"/>
              <w:spacing w:after="0"/>
              <w:rPr>
                <w:sz w:val="20"/>
                <w:szCs w:val="20"/>
                <w:color w:val="auto"/>
              </w:rPr>
            </w:pPr>
            <w:r>
              <w:rPr>
                <w:rFonts w:ascii="Arial" w:cs="Arial" w:eastAsia="Arial" w:hAnsi="Arial"/>
                <w:sz w:val="15"/>
                <w:szCs w:val="15"/>
                <w:color w:val="auto"/>
                <w:w w:val="95"/>
              </w:rPr>
              <w:t>118.7</w:t>
            </w:r>
          </w:p>
        </w:tc>
        <w:tc>
          <w:tcPr>
            <w:tcW w:w="1420" w:type="dxa"/>
            <w:vAlign w:val="bottom"/>
            <w:shd w:val="clear" w:color="auto" w:fill="DFE4EA"/>
          </w:tcPr>
          <w:p>
            <w:pPr>
              <w:jc w:val="center"/>
              <w:ind w:right="3"/>
              <w:spacing w:after="0"/>
              <w:rPr>
                <w:sz w:val="20"/>
                <w:szCs w:val="20"/>
                <w:color w:val="auto"/>
              </w:rPr>
            </w:pPr>
            <w:r>
              <w:rPr>
                <w:rFonts w:ascii="Arial" w:cs="Arial" w:eastAsia="Arial" w:hAnsi="Arial"/>
                <w:sz w:val="15"/>
                <w:szCs w:val="15"/>
                <w:color w:val="auto"/>
              </w:rPr>
              <w:t>0.0</w:t>
            </w:r>
          </w:p>
        </w:tc>
        <w:tc>
          <w:tcPr>
            <w:tcW w:w="15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118.7</w:t>
            </w:r>
          </w:p>
        </w:tc>
      </w:tr>
      <w:tr>
        <w:trPr>
          <w:trHeight w:val="216"/>
        </w:trPr>
        <w:tc>
          <w:tcPr>
            <w:tcW w:w="1800" w:type="dxa"/>
            <w:vAlign w:val="bottom"/>
          </w:tcPr>
          <w:p>
            <w:pPr>
              <w:spacing w:after="0"/>
              <w:rPr>
                <w:sz w:val="20"/>
                <w:szCs w:val="20"/>
                <w:color w:val="auto"/>
              </w:rPr>
            </w:pPr>
            <w:r>
              <w:rPr>
                <w:rFonts w:ascii="Arial" w:cs="Arial" w:eastAsia="Arial" w:hAnsi="Arial"/>
                <w:sz w:val="15"/>
                <w:szCs w:val="15"/>
                <w:color w:val="auto"/>
              </w:rPr>
              <w:t>Davis</w:t>
            </w:r>
          </w:p>
        </w:tc>
        <w:tc>
          <w:tcPr>
            <w:tcW w:w="1380" w:type="dxa"/>
            <w:vAlign w:val="bottom"/>
          </w:tcPr>
          <w:p>
            <w:pPr>
              <w:jc w:val="center"/>
              <w:ind w:right="63"/>
              <w:spacing w:after="0"/>
              <w:rPr>
                <w:sz w:val="20"/>
                <w:szCs w:val="20"/>
                <w:color w:val="auto"/>
              </w:rPr>
            </w:pPr>
            <w:r>
              <w:rPr>
                <w:rFonts w:ascii="Arial" w:cs="Arial" w:eastAsia="Arial" w:hAnsi="Arial"/>
                <w:sz w:val="15"/>
                <w:szCs w:val="15"/>
                <w:color w:val="auto"/>
              </w:rPr>
              <w:t>261,803</w:t>
            </w:r>
          </w:p>
        </w:tc>
        <w:tc>
          <w:tcPr>
            <w:tcW w:w="1340" w:type="dxa"/>
            <w:vAlign w:val="bottom"/>
          </w:tcPr>
          <w:p>
            <w:pPr>
              <w:jc w:val="center"/>
              <w:ind w:left="103"/>
              <w:spacing w:after="0"/>
              <w:rPr>
                <w:sz w:val="20"/>
                <w:szCs w:val="20"/>
                <w:color w:val="auto"/>
              </w:rPr>
            </w:pPr>
            <w:r>
              <w:rPr>
                <w:rFonts w:ascii="Arial" w:cs="Arial" w:eastAsia="Arial" w:hAnsi="Arial"/>
                <w:sz w:val="15"/>
                <w:szCs w:val="15"/>
                <w:color w:val="auto"/>
              </w:rPr>
              <w:t>220,548</w:t>
            </w:r>
          </w:p>
        </w:tc>
        <w:tc>
          <w:tcPr>
            <w:tcW w:w="1740" w:type="dxa"/>
            <w:vAlign w:val="bottom"/>
          </w:tcPr>
          <w:p>
            <w:pPr>
              <w:jc w:val="center"/>
              <w:ind w:left="23"/>
              <w:spacing w:after="0"/>
              <w:rPr>
                <w:sz w:val="20"/>
                <w:szCs w:val="20"/>
                <w:color w:val="auto"/>
              </w:rPr>
            </w:pPr>
            <w:r>
              <w:rPr>
                <w:rFonts w:ascii="Arial" w:cs="Arial" w:eastAsia="Arial" w:hAnsi="Arial"/>
                <w:sz w:val="15"/>
                <w:szCs w:val="15"/>
                <w:color w:val="auto"/>
                <w:w w:val="95"/>
              </w:rPr>
              <w:t>118.7</w:t>
            </w:r>
          </w:p>
        </w:tc>
        <w:tc>
          <w:tcPr>
            <w:tcW w:w="1420" w:type="dxa"/>
            <w:vAlign w:val="bottom"/>
          </w:tcPr>
          <w:p>
            <w:pPr>
              <w:jc w:val="center"/>
              <w:ind w:right="3"/>
              <w:spacing w:after="0"/>
              <w:rPr>
                <w:sz w:val="20"/>
                <w:szCs w:val="20"/>
                <w:color w:val="auto"/>
              </w:rPr>
            </w:pPr>
            <w:r>
              <w:rPr>
                <w:rFonts w:ascii="Arial" w:cs="Arial" w:eastAsia="Arial" w:hAnsi="Arial"/>
                <w:sz w:val="15"/>
                <w:szCs w:val="15"/>
                <w:color w:val="auto"/>
              </w:rPr>
              <w:t>0.0</w:t>
            </w:r>
          </w:p>
        </w:tc>
        <w:tc>
          <w:tcPr>
            <w:tcW w:w="1500" w:type="dxa"/>
            <w:vAlign w:val="bottom"/>
          </w:tcPr>
          <w:p>
            <w:pPr>
              <w:jc w:val="center"/>
              <w:spacing w:after="0"/>
              <w:rPr>
                <w:sz w:val="20"/>
                <w:szCs w:val="20"/>
                <w:color w:val="auto"/>
              </w:rPr>
            </w:pPr>
            <w:r>
              <w:rPr>
                <w:rFonts w:ascii="Arial" w:cs="Arial" w:eastAsia="Arial" w:hAnsi="Arial"/>
                <w:sz w:val="15"/>
                <w:szCs w:val="15"/>
                <w:color w:val="auto"/>
              </w:rPr>
              <w:t>118.7</w:t>
            </w:r>
          </w:p>
        </w:tc>
      </w:tr>
      <w:tr>
        <w:trPr>
          <w:trHeight w:val="224"/>
        </w:trPr>
        <w:tc>
          <w:tcPr>
            <w:tcW w:w="1800" w:type="dxa"/>
            <w:vAlign w:val="bottom"/>
            <w:shd w:val="clear" w:color="auto" w:fill="DFE4EA"/>
          </w:tcPr>
          <w:p>
            <w:pPr>
              <w:spacing w:after="0"/>
              <w:rPr>
                <w:sz w:val="20"/>
                <w:szCs w:val="20"/>
                <w:color w:val="auto"/>
              </w:rPr>
            </w:pPr>
            <w:r>
              <w:rPr>
                <w:rFonts w:ascii="Arial" w:cs="Arial" w:eastAsia="Arial" w:hAnsi="Arial"/>
                <w:sz w:val="15"/>
                <w:szCs w:val="15"/>
                <w:color w:val="auto"/>
              </w:rPr>
              <w:t>Holloway</w:t>
            </w:r>
          </w:p>
        </w:tc>
        <w:tc>
          <w:tcPr>
            <w:tcW w:w="1380" w:type="dxa"/>
            <w:vAlign w:val="bottom"/>
            <w:shd w:val="clear" w:color="auto" w:fill="DFE4EA"/>
          </w:tcPr>
          <w:p>
            <w:pPr>
              <w:jc w:val="center"/>
              <w:ind w:right="63"/>
              <w:spacing w:after="0"/>
              <w:rPr>
                <w:sz w:val="20"/>
                <w:szCs w:val="20"/>
                <w:color w:val="auto"/>
              </w:rPr>
            </w:pPr>
            <w:r>
              <w:rPr>
                <w:rFonts w:ascii="Arial" w:cs="Arial" w:eastAsia="Arial" w:hAnsi="Arial"/>
                <w:sz w:val="15"/>
                <w:szCs w:val="15"/>
                <w:color w:val="auto"/>
              </w:rPr>
              <w:t>260,208</w:t>
            </w:r>
          </w:p>
        </w:tc>
        <w:tc>
          <w:tcPr>
            <w:tcW w:w="1340" w:type="dxa"/>
            <w:vAlign w:val="bottom"/>
            <w:shd w:val="clear" w:color="auto" w:fill="DFE4EA"/>
          </w:tcPr>
          <w:p>
            <w:pPr>
              <w:jc w:val="center"/>
              <w:ind w:left="103"/>
              <w:spacing w:after="0"/>
              <w:rPr>
                <w:sz w:val="20"/>
                <w:szCs w:val="20"/>
                <w:color w:val="auto"/>
              </w:rPr>
            </w:pPr>
            <w:r>
              <w:rPr>
                <w:rFonts w:ascii="Arial" w:cs="Arial" w:eastAsia="Arial" w:hAnsi="Arial"/>
                <w:sz w:val="15"/>
                <w:szCs w:val="15"/>
                <w:color w:val="auto"/>
              </w:rPr>
              <w:t>219,204</w:t>
            </w:r>
          </w:p>
        </w:tc>
        <w:tc>
          <w:tcPr>
            <w:tcW w:w="1740" w:type="dxa"/>
            <w:vAlign w:val="bottom"/>
            <w:shd w:val="clear" w:color="auto" w:fill="DFE4EA"/>
          </w:tcPr>
          <w:p>
            <w:pPr>
              <w:jc w:val="center"/>
              <w:ind w:left="23"/>
              <w:spacing w:after="0"/>
              <w:rPr>
                <w:sz w:val="20"/>
                <w:szCs w:val="20"/>
                <w:color w:val="auto"/>
              </w:rPr>
            </w:pPr>
            <w:r>
              <w:rPr>
                <w:rFonts w:ascii="Arial" w:cs="Arial" w:eastAsia="Arial" w:hAnsi="Arial"/>
                <w:sz w:val="15"/>
                <w:szCs w:val="15"/>
                <w:color w:val="auto"/>
                <w:w w:val="95"/>
              </w:rPr>
              <w:t>118.7</w:t>
            </w:r>
          </w:p>
        </w:tc>
        <w:tc>
          <w:tcPr>
            <w:tcW w:w="1420" w:type="dxa"/>
            <w:vAlign w:val="bottom"/>
            <w:shd w:val="clear" w:color="auto" w:fill="DFE4EA"/>
          </w:tcPr>
          <w:p>
            <w:pPr>
              <w:jc w:val="center"/>
              <w:ind w:right="3"/>
              <w:spacing w:after="0"/>
              <w:rPr>
                <w:sz w:val="20"/>
                <w:szCs w:val="20"/>
                <w:color w:val="auto"/>
              </w:rPr>
            </w:pPr>
            <w:r>
              <w:rPr>
                <w:rFonts w:ascii="Arial" w:cs="Arial" w:eastAsia="Arial" w:hAnsi="Arial"/>
                <w:sz w:val="15"/>
                <w:szCs w:val="15"/>
                <w:color w:val="auto"/>
              </w:rPr>
              <w:t>0.0</w:t>
            </w:r>
          </w:p>
        </w:tc>
        <w:tc>
          <w:tcPr>
            <w:tcW w:w="15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118.7</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2025 Long-Term Incentives – Annual Equity</w:t>
      </w:r>
    </w:p>
    <w:p>
      <w:pPr>
        <w:spacing w:after="0" w:line="122"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Based on input from management, and in consultation with Willis Towers Watson, starting in the fourth quarter of 2024, the Committee considered the 2025 Annual Long-Term Incentive Program, and in the design of the 2025 program, determined to use a mix of equity awards split equally between RSUs and PSUs. This mix may be altered for executive officers located outside of the U.S. to accommodate local tax issues.</w:t>
      </w:r>
    </w:p>
    <w:p>
      <w:pPr>
        <w:spacing w:after="0" w:line="106"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color w:val="auto"/>
        </w:rPr>
        <w:t>The Committee determined that the awards under the Annual Long-Term Incentive Program in 2025 would be established at the levels disclosed in the table below to remain market competitive, as reflected in the 2024 Study. Market comparisons were based on the Company’s current financial statistics, such as annual revenue and market cap, as well as the anticipated growth of the Company and the continued increase in the complexity of the Company’s business following the acquisitions of JOTEC AG in fiscal 2017 and Ascyrus Medical LLC in fiscal 2020, the distribution agreement with Endospan Ltd., which commenced in 2019, the divestiture of the PerClot business with an ongoing transition manufacturing agreement with Baxter Healthcare Corp., the ongoing transition to the MDR in Europe, and the Company’s rapid growth in international markets, in particular the Asia Pacific and Latin American markets during 2024 and continuing into 2025.</w:t>
      </w:r>
    </w:p>
    <w:p>
      <w:pPr>
        <w:spacing w:after="0" w:line="128"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To arrive at the number of shares of RSUs and target PSUs to be granted, the Committee directed management to determine the number of units of restricted stock and target performance stock units using the closing share price of the Company’s stock on the grant date. Grants generally were made on the first permissible trading day following the Committee’s approval of such awards. In this instance, grant values approved by the Committee were converted to units using a stock price of $25.41 for the RSU and PSU grants, the closing price on February 28, 2025, when those grants were made.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For 2025, the Committee adopted the PSU performance measures as set forth above at page 27.</w:t>
      </w:r>
    </w:p>
    <w:p>
      <w:pPr>
        <w:spacing w:after="0" w:line="129"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following table provides the 2025 equity awarded through the Annual Long-Term Incentive Program to the NEOs as approved by the Committee.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2025 Annual Equity Grant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11430</wp:posOffset>
            </wp:positionV>
            <wp:extent cx="367538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75380" cy="7620"/>
                    </a:xfrm>
                    <a:prstGeom prst="rect">
                      <a:avLst/>
                    </a:prstGeom>
                    <a:noFill/>
                  </pic:spPr>
                </pic:pic>
              </a:graphicData>
            </a:graphic>
          </wp:anchor>
        </w:drawing>
      </w:r>
    </w:p>
    <w:p>
      <w:pPr>
        <w:spacing w:after="0" w:line="39"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1760" w:type="dxa"/>
            <w:vAlign w:val="bottom"/>
          </w:tcPr>
          <w:p>
            <w:pPr>
              <w:jc w:val="center"/>
              <w:ind w:left="43"/>
              <w:spacing w:after="0"/>
              <w:rPr>
                <w:sz w:val="20"/>
                <w:szCs w:val="20"/>
                <w:color w:val="auto"/>
              </w:rPr>
            </w:pPr>
            <w:r>
              <w:rPr>
                <w:rFonts w:ascii="Arial" w:cs="Arial" w:eastAsia="Arial" w:hAnsi="Arial"/>
                <w:sz w:val="15"/>
                <w:szCs w:val="15"/>
                <w:b w:val="1"/>
                <w:bCs w:val="1"/>
                <w:color w:val="auto"/>
              </w:rPr>
              <w:t>Performance</w:t>
            </w:r>
          </w:p>
        </w:tc>
        <w:tc>
          <w:tcPr>
            <w:tcW w:w="1680" w:type="dxa"/>
            <w:vAlign w:val="bottom"/>
          </w:tcPr>
          <w:p>
            <w:pPr>
              <w:spacing w:after="0"/>
              <w:rPr>
                <w:sz w:val="15"/>
                <w:szCs w:val="15"/>
                <w:color w:val="auto"/>
              </w:rPr>
            </w:pPr>
          </w:p>
        </w:tc>
      </w:tr>
      <w:tr>
        <w:trPr>
          <w:trHeight w:val="171"/>
        </w:trPr>
        <w:tc>
          <w:tcPr>
            <w:tcW w:w="2340" w:type="dxa"/>
            <w:vAlign w:val="bottom"/>
          </w:tcPr>
          <w:p>
            <w:pPr>
              <w:spacing w:after="0"/>
              <w:rPr>
                <w:sz w:val="14"/>
                <w:szCs w:val="14"/>
                <w:color w:val="auto"/>
              </w:rPr>
            </w:pPr>
          </w:p>
        </w:tc>
        <w:tc>
          <w:tcPr>
            <w:tcW w:w="1760" w:type="dxa"/>
            <w:vAlign w:val="bottom"/>
          </w:tcPr>
          <w:p>
            <w:pPr>
              <w:jc w:val="center"/>
              <w:ind w:left="43"/>
              <w:spacing w:after="0" w:line="172" w:lineRule="exact"/>
              <w:rPr>
                <w:sz w:val="20"/>
                <w:szCs w:val="20"/>
                <w:color w:val="auto"/>
              </w:rPr>
            </w:pPr>
            <w:r>
              <w:rPr>
                <w:rFonts w:ascii="Arial" w:cs="Arial" w:eastAsia="Arial" w:hAnsi="Arial"/>
                <w:sz w:val="15"/>
                <w:szCs w:val="15"/>
                <w:b w:val="1"/>
                <w:bCs w:val="1"/>
                <w:color w:val="auto"/>
              </w:rPr>
              <w:t>Stock</w:t>
            </w:r>
          </w:p>
        </w:tc>
        <w:tc>
          <w:tcPr>
            <w:tcW w:w="1680" w:type="dxa"/>
            <w:vAlign w:val="bottom"/>
          </w:tcPr>
          <w:p>
            <w:pPr>
              <w:jc w:val="center"/>
              <w:spacing w:after="0" w:line="172" w:lineRule="exact"/>
              <w:rPr>
                <w:sz w:val="20"/>
                <w:szCs w:val="20"/>
                <w:color w:val="auto"/>
              </w:rPr>
            </w:pPr>
            <w:r>
              <w:rPr>
                <w:rFonts w:ascii="Arial" w:cs="Arial" w:eastAsia="Arial" w:hAnsi="Arial"/>
                <w:sz w:val="15"/>
                <w:szCs w:val="15"/>
                <w:b w:val="1"/>
                <w:bCs w:val="1"/>
                <w:color w:val="auto"/>
              </w:rPr>
              <w:t>Restricted</w:t>
            </w:r>
          </w:p>
        </w:tc>
      </w:tr>
      <w:tr>
        <w:trPr>
          <w:trHeight w:val="200"/>
        </w:trPr>
        <w:tc>
          <w:tcPr>
            <w:tcW w:w="2340" w:type="dxa"/>
            <w:vAlign w:val="bottom"/>
          </w:tcPr>
          <w:p>
            <w:pPr>
              <w:spacing w:after="0"/>
              <w:rPr>
                <w:sz w:val="17"/>
                <w:szCs w:val="17"/>
                <w:color w:val="auto"/>
              </w:rPr>
            </w:pPr>
          </w:p>
        </w:tc>
        <w:tc>
          <w:tcPr>
            <w:tcW w:w="1760" w:type="dxa"/>
            <w:vAlign w:val="bottom"/>
          </w:tcPr>
          <w:p>
            <w:pPr>
              <w:jc w:val="center"/>
              <w:ind w:left="43"/>
              <w:spacing w:after="0" w:line="200" w:lineRule="exact"/>
              <w:rPr>
                <w:sz w:val="20"/>
                <w:szCs w:val="20"/>
                <w:color w:val="auto"/>
              </w:rPr>
            </w:pPr>
            <w:r>
              <w:rPr>
                <w:rFonts w:ascii="Arial" w:cs="Arial" w:eastAsia="Arial" w:hAnsi="Arial"/>
                <w:sz w:val="15"/>
                <w:szCs w:val="15"/>
                <w:b w:val="1"/>
                <w:bCs w:val="1"/>
                <w:color w:val="auto"/>
                <w:w w:val="92"/>
              </w:rPr>
              <w:t>Units</w:t>
            </w:r>
            <w:r>
              <w:rPr>
                <w:rFonts w:ascii="Arial" w:cs="Arial" w:eastAsia="Arial" w:hAnsi="Arial"/>
                <w:sz w:val="23"/>
                <w:szCs w:val="23"/>
                <w:b w:val="1"/>
                <w:bCs w:val="1"/>
                <w:color w:val="auto"/>
                <w:w w:val="92"/>
                <w:vertAlign w:val="superscript"/>
              </w:rPr>
              <w:t>(1)</w:t>
            </w:r>
          </w:p>
        </w:tc>
        <w:tc>
          <w:tcPr>
            <w:tcW w:w="1680" w:type="dxa"/>
            <w:vAlign w:val="bottom"/>
          </w:tcPr>
          <w:p>
            <w:pPr>
              <w:jc w:val="center"/>
              <w:spacing w:after="0" w:line="200" w:lineRule="exact"/>
              <w:rPr>
                <w:sz w:val="20"/>
                <w:szCs w:val="20"/>
                <w:color w:val="auto"/>
              </w:rPr>
            </w:pPr>
            <w:r>
              <w:rPr>
                <w:rFonts w:ascii="Arial" w:cs="Arial" w:eastAsia="Arial" w:hAnsi="Arial"/>
                <w:sz w:val="15"/>
                <w:szCs w:val="15"/>
                <w:b w:val="1"/>
                <w:bCs w:val="1"/>
                <w:color w:val="auto"/>
              </w:rPr>
              <w:t>Stock Units</w:t>
            </w:r>
            <w:r>
              <w:rPr>
                <w:rFonts w:ascii="Arial" w:cs="Arial" w:eastAsia="Arial" w:hAnsi="Arial"/>
                <w:sz w:val="23"/>
                <w:szCs w:val="23"/>
                <w:b w:val="1"/>
                <w:bCs w:val="1"/>
                <w:color w:val="auto"/>
                <w:vertAlign w:val="superscript"/>
              </w:rPr>
              <w:t>(2)</w:t>
            </w:r>
          </w:p>
        </w:tc>
      </w:tr>
      <w:tr>
        <w:trPr>
          <w:trHeight w:val="198"/>
        </w:trPr>
        <w:tc>
          <w:tcPr>
            <w:tcW w:w="234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Executive Officer</w:t>
            </w:r>
          </w:p>
        </w:tc>
        <w:tc>
          <w:tcPr>
            <w:tcW w:w="176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b w:val="1"/>
                <w:bCs w:val="1"/>
                <w:color w:val="auto"/>
              </w:rPr>
              <w: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r>
      <w:tr>
        <w:trPr>
          <w:trHeight w:val="228"/>
        </w:trPr>
        <w:tc>
          <w:tcPr>
            <w:tcW w:w="2340" w:type="dxa"/>
            <w:vAlign w:val="bottom"/>
            <w:shd w:val="clear" w:color="auto" w:fill="DFE4EA"/>
          </w:tcPr>
          <w:p>
            <w:pPr>
              <w:spacing w:after="0"/>
              <w:rPr>
                <w:sz w:val="20"/>
                <w:szCs w:val="20"/>
                <w:color w:val="auto"/>
              </w:rPr>
            </w:pPr>
            <w:r>
              <w:rPr>
                <w:rFonts w:ascii="Arial" w:cs="Arial" w:eastAsia="Arial" w:hAnsi="Arial"/>
                <w:sz w:val="15"/>
                <w:szCs w:val="15"/>
                <w:color w:val="auto"/>
              </w:rPr>
              <w:t>Mackin</w:t>
            </w:r>
          </w:p>
        </w:tc>
        <w:tc>
          <w:tcPr>
            <w:tcW w:w="1760" w:type="dxa"/>
            <w:vAlign w:val="bottom"/>
            <w:shd w:val="clear" w:color="auto" w:fill="DFE4EA"/>
          </w:tcPr>
          <w:p>
            <w:pPr>
              <w:jc w:val="center"/>
              <w:ind w:left="43"/>
              <w:spacing w:after="0"/>
              <w:rPr>
                <w:sz w:val="20"/>
                <w:szCs w:val="20"/>
                <w:color w:val="auto"/>
              </w:rPr>
            </w:pPr>
            <w:r>
              <w:rPr>
                <w:rFonts w:ascii="Arial" w:cs="Arial" w:eastAsia="Arial" w:hAnsi="Arial"/>
                <w:sz w:val="15"/>
                <w:szCs w:val="15"/>
                <w:color w:val="auto"/>
              </w:rPr>
              <w:t>98,524</w:t>
            </w:r>
          </w:p>
        </w:tc>
        <w:tc>
          <w:tcPr>
            <w:tcW w:w="1680" w:type="dxa"/>
            <w:vAlign w:val="bottom"/>
            <w:shd w:val="clear" w:color="auto" w:fill="DFE4EA"/>
          </w:tcPr>
          <w:p>
            <w:pPr>
              <w:ind w:left="620"/>
              <w:spacing w:after="0"/>
              <w:rPr>
                <w:sz w:val="20"/>
                <w:szCs w:val="20"/>
                <w:color w:val="auto"/>
              </w:rPr>
            </w:pPr>
            <w:r>
              <w:rPr>
                <w:rFonts w:ascii="Arial" w:cs="Arial" w:eastAsia="Arial" w:hAnsi="Arial"/>
                <w:sz w:val="15"/>
                <w:szCs w:val="15"/>
                <w:color w:val="auto"/>
              </w:rPr>
              <w:t>98,524</w:t>
            </w:r>
          </w:p>
        </w:tc>
      </w:tr>
      <w:tr>
        <w:trPr>
          <w:trHeight w:val="244"/>
        </w:trPr>
        <w:tc>
          <w:tcPr>
            <w:tcW w:w="2340" w:type="dxa"/>
            <w:vAlign w:val="bottom"/>
          </w:tcPr>
          <w:p>
            <w:pPr>
              <w:spacing w:after="0"/>
              <w:rPr>
                <w:sz w:val="20"/>
                <w:szCs w:val="20"/>
                <w:color w:val="auto"/>
              </w:rPr>
            </w:pPr>
            <w:r>
              <w:rPr>
                <w:rFonts w:ascii="Arial" w:cs="Arial" w:eastAsia="Arial" w:hAnsi="Arial"/>
                <w:sz w:val="15"/>
                <w:szCs w:val="15"/>
                <w:color w:val="auto"/>
              </w:rPr>
              <w:t>Berry</w:t>
            </w:r>
          </w:p>
        </w:tc>
        <w:tc>
          <w:tcPr>
            <w:tcW w:w="1760" w:type="dxa"/>
            <w:vAlign w:val="bottom"/>
          </w:tcPr>
          <w:p>
            <w:pPr>
              <w:jc w:val="center"/>
              <w:ind w:left="43"/>
              <w:spacing w:after="0"/>
              <w:rPr>
                <w:sz w:val="20"/>
                <w:szCs w:val="20"/>
                <w:color w:val="auto"/>
              </w:rPr>
            </w:pPr>
            <w:r>
              <w:rPr>
                <w:rFonts w:ascii="Arial" w:cs="Arial" w:eastAsia="Arial" w:hAnsi="Arial"/>
                <w:sz w:val="15"/>
                <w:szCs w:val="15"/>
                <w:color w:val="auto"/>
              </w:rPr>
              <w:t>34,435</w:t>
            </w:r>
          </w:p>
        </w:tc>
        <w:tc>
          <w:tcPr>
            <w:tcW w:w="1680" w:type="dxa"/>
            <w:vAlign w:val="bottom"/>
          </w:tcPr>
          <w:p>
            <w:pPr>
              <w:ind w:left="620"/>
              <w:spacing w:after="0" w:line="243" w:lineRule="exact"/>
              <w:rPr>
                <w:sz w:val="20"/>
                <w:szCs w:val="20"/>
                <w:color w:val="auto"/>
              </w:rPr>
            </w:pPr>
            <w:r>
              <w:rPr>
                <w:rFonts w:ascii="Arial" w:cs="Arial" w:eastAsia="Arial" w:hAnsi="Arial"/>
                <w:sz w:val="15"/>
                <w:szCs w:val="15"/>
                <w:color w:val="auto"/>
              </w:rPr>
              <w:t>39,224</w:t>
            </w:r>
            <w:r>
              <w:rPr>
                <w:rFonts w:ascii="Arial" w:cs="Arial" w:eastAsia="Arial" w:hAnsi="Arial"/>
                <w:sz w:val="24"/>
                <w:szCs w:val="24"/>
                <w:color w:val="auto"/>
                <w:vertAlign w:val="superscript"/>
              </w:rPr>
              <w:t>(3)</w:t>
            </w:r>
          </w:p>
        </w:tc>
      </w:tr>
      <w:tr>
        <w:trPr>
          <w:trHeight w:val="220"/>
        </w:trPr>
        <w:tc>
          <w:tcPr>
            <w:tcW w:w="2340" w:type="dxa"/>
            <w:vAlign w:val="bottom"/>
            <w:shd w:val="clear" w:color="auto" w:fill="DFE4EA"/>
          </w:tcPr>
          <w:p>
            <w:pPr>
              <w:spacing w:after="0"/>
              <w:rPr>
                <w:sz w:val="20"/>
                <w:szCs w:val="20"/>
                <w:color w:val="auto"/>
              </w:rPr>
            </w:pPr>
            <w:r>
              <w:rPr>
                <w:rFonts w:ascii="Arial" w:cs="Arial" w:eastAsia="Arial" w:hAnsi="Arial"/>
                <w:sz w:val="15"/>
                <w:szCs w:val="15"/>
                <w:color w:val="auto"/>
              </w:rPr>
              <w:t>Holloway</w:t>
            </w:r>
          </w:p>
        </w:tc>
        <w:tc>
          <w:tcPr>
            <w:tcW w:w="1760" w:type="dxa"/>
            <w:vAlign w:val="bottom"/>
            <w:shd w:val="clear" w:color="auto" w:fill="DFE4EA"/>
          </w:tcPr>
          <w:p>
            <w:pPr>
              <w:jc w:val="center"/>
              <w:ind w:left="43"/>
              <w:spacing w:after="0"/>
              <w:rPr>
                <w:sz w:val="20"/>
                <w:szCs w:val="20"/>
                <w:color w:val="auto"/>
              </w:rPr>
            </w:pPr>
            <w:r>
              <w:rPr>
                <w:rFonts w:ascii="Arial" w:cs="Arial" w:eastAsia="Arial" w:hAnsi="Arial"/>
                <w:sz w:val="15"/>
                <w:szCs w:val="15"/>
                <w:color w:val="auto"/>
              </w:rPr>
              <w:t>23,416</w:t>
            </w:r>
          </w:p>
        </w:tc>
        <w:tc>
          <w:tcPr>
            <w:tcW w:w="1680" w:type="dxa"/>
            <w:vAlign w:val="bottom"/>
            <w:shd w:val="clear" w:color="auto" w:fill="DFE4EA"/>
          </w:tcPr>
          <w:p>
            <w:pPr>
              <w:ind w:left="620"/>
              <w:spacing w:after="0"/>
              <w:rPr>
                <w:sz w:val="20"/>
                <w:szCs w:val="20"/>
                <w:color w:val="auto"/>
              </w:rPr>
            </w:pPr>
            <w:r>
              <w:rPr>
                <w:rFonts w:ascii="Arial" w:cs="Arial" w:eastAsia="Arial" w:hAnsi="Arial"/>
                <w:sz w:val="15"/>
                <w:szCs w:val="15"/>
                <w:color w:val="auto"/>
              </w:rPr>
              <w:t>23,416</w:t>
            </w:r>
          </w:p>
        </w:tc>
      </w:tr>
      <w:tr>
        <w:trPr>
          <w:trHeight w:val="216"/>
        </w:trPr>
        <w:tc>
          <w:tcPr>
            <w:tcW w:w="2340" w:type="dxa"/>
            <w:vAlign w:val="bottom"/>
          </w:tcPr>
          <w:p>
            <w:pPr>
              <w:spacing w:after="0"/>
              <w:rPr>
                <w:sz w:val="20"/>
                <w:szCs w:val="20"/>
                <w:color w:val="auto"/>
              </w:rPr>
            </w:pPr>
            <w:r>
              <w:rPr>
                <w:rFonts w:ascii="Arial" w:cs="Arial" w:eastAsia="Arial" w:hAnsi="Arial"/>
                <w:sz w:val="15"/>
                <w:szCs w:val="15"/>
                <w:color w:val="auto"/>
              </w:rPr>
              <w:t>Davis</w:t>
            </w:r>
          </w:p>
        </w:tc>
        <w:tc>
          <w:tcPr>
            <w:tcW w:w="1760" w:type="dxa"/>
            <w:vAlign w:val="bottom"/>
          </w:tcPr>
          <w:p>
            <w:pPr>
              <w:jc w:val="center"/>
              <w:ind w:left="43"/>
              <w:spacing w:after="0"/>
              <w:rPr>
                <w:sz w:val="20"/>
                <w:szCs w:val="20"/>
                <w:color w:val="auto"/>
              </w:rPr>
            </w:pPr>
            <w:r>
              <w:rPr>
                <w:rFonts w:ascii="Arial" w:cs="Arial" w:eastAsia="Arial" w:hAnsi="Arial"/>
                <w:sz w:val="15"/>
                <w:szCs w:val="15"/>
                <w:color w:val="auto"/>
              </w:rPr>
              <w:t>24,301</w:t>
            </w:r>
          </w:p>
        </w:tc>
        <w:tc>
          <w:tcPr>
            <w:tcW w:w="1680" w:type="dxa"/>
            <w:vAlign w:val="bottom"/>
          </w:tcPr>
          <w:p>
            <w:pPr>
              <w:ind w:left="620"/>
              <w:spacing w:after="0"/>
              <w:rPr>
                <w:sz w:val="20"/>
                <w:szCs w:val="20"/>
                <w:color w:val="auto"/>
              </w:rPr>
            </w:pPr>
            <w:r>
              <w:rPr>
                <w:rFonts w:ascii="Arial" w:cs="Arial" w:eastAsia="Arial" w:hAnsi="Arial"/>
                <w:sz w:val="15"/>
                <w:szCs w:val="15"/>
                <w:color w:val="auto"/>
              </w:rPr>
              <w:t>24,301</w:t>
            </w:r>
          </w:p>
        </w:tc>
      </w:tr>
      <w:tr>
        <w:trPr>
          <w:trHeight w:val="224"/>
        </w:trPr>
        <w:tc>
          <w:tcPr>
            <w:tcW w:w="2340" w:type="dxa"/>
            <w:vAlign w:val="bottom"/>
            <w:shd w:val="clear" w:color="auto" w:fill="DFE4EA"/>
          </w:tcPr>
          <w:p>
            <w:pPr>
              <w:spacing w:after="0"/>
              <w:rPr>
                <w:sz w:val="20"/>
                <w:szCs w:val="20"/>
                <w:color w:val="auto"/>
              </w:rPr>
            </w:pPr>
            <w:r>
              <w:rPr>
                <w:rFonts w:ascii="Arial" w:cs="Arial" w:eastAsia="Arial" w:hAnsi="Arial"/>
                <w:sz w:val="15"/>
                <w:szCs w:val="15"/>
                <w:color w:val="auto"/>
              </w:rPr>
              <w:t>Stanton</w:t>
            </w:r>
          </w:p>
        </w:tc>
        <w:tc>
          <w:tcPr>
            <w:tcW w:w="1760" w:type="dxa"/>
            <w:vAlign w:val="bottom"/>
            <w:shd w:val="clear" w:color="auto" w:fill="DFE4EA"/>
          </w:tcPr>
          <w:p>
            <w:pPr>
              <w:jc w:val="center"/>
              <w:ind w:left="43"/>
              <w:spacing w:after="0"/>
              <w:rPr>
                <w:sz w:val="20"/>
                <w:szCs w:val="20"/>
                <w:color w:val="auto"/>
              </w:rPr>
            </w:pPr>
            <w:r>
              <w:rPr>
                <w:rFonts w:ascii="Arial" w:cs="Arial" w:eastAsia="Arial" w:hAnsi="Arial"/>
                <w:sz w:val="15"/>
                <w:szCs w:val="15"/>
                <w:color w:val="auto"/>
              </w:rPr>
              <w:t>18,398</w:t>
            </w:r>
          </w:p>
        </w:tc>
        <w:tc>
          <w:tcPr>
            <w:tcW w:w="1680" w:type="dxa"/>
            <w:vAlign w:val="bottom"/>
            <w:shd w:val="clear" w:color="auto" w:fill="DFE4EA"/>
          </w:tcPr>
          <w:p>
            <w:pPr>
              <w:ind w:left="620"/>
              <w:spacing w:after="0"/>
              <w:rPr>
                <w:sz w:val="20"/>
                <w:szCs w:val="20"/>
                <w:color w:val="auto"/>
              </w:rPr>
            </w:pPr>
            <w:r>
              <w:rPr>
                <w:rFonts w:ascii="Arial" w:cs="Arial" w:eastAsia="Arial" w:hAnsi="Arial"/>
                <w:sz w:val="15"/>
                <w:szCs w:val="15"/>
                <w:color w:val="auto"/>
              </w:rPr>
              <w:t>18,398</w:t>
            </w:r>
          </w:p>
        </w:tc>
      </w:tr>
    </w:tbl>
    <w:p>
      <w:pPr>
        <w:spacing w:after="0" w:line="150" w:lineRule="exact"/>
        <w:rPr>
          <w:sz w:val="20"/>
          <w:szCs w:val="20"/>
          <w:color w:val="auto"/>
        </w:rPr>
      </w:pPr>
    </w:p>
    <w:p>
      <w:pPr>
        <w:jc w:val="both"/>
        <w:ind w:left="560" w:hanging="225"/>
        <w:spacing w:after="0" w:line="218" w:lineRule="auto"/>
        <w:tabs>
          <w:tab w:leader="none" w:pos="5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Reflects the target performance stock unit award level. The actual number of PSU shares earned was based on performance factors determined by the Committee. Actual earned shares vest 1/3 on the later of the first anniversary of the award date or the first available date after the Committee certifies the prior year’s financial metric results (determined to be February 28, 2026, the first date that the awards could be released following the date that the Company filed its Form 10-K for fiscal 2025); 1/3 on the second anniversary of the award date; and 1/3 on the third anniversary of the award date.</w:t>
      </w:r>
    </w:p>
    <w:p>
      <w:pPr>
        <w:sectPr>
          <w:pgSz w:w="11900" w:h="16838" w:orient="portrait"/>
          <w:cols w:equalWidth="0" w:num="1">
            <w:col w:w="10020"/>
          </w:cols>
          <w:pgMar w:left="980" w:top="958"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958" w:right="899" w:bottom="1440" w:gutter="0" w:footer="0" w:header="0"/>
          <w:type w:val="continuous"/>
        </w:sectPr>
      </w:pPr>
    </w:p>
    <w:bookmarkStart w:id="36" w:name="page37"/>
    <w:bookmarkEnd w:id="36"/>
    <w:p>
      <w:pPr>
        <w:ind w:left="560" w:hanging="225"/>
        <w:spacing w:after="0" w:line="200" w:lineRule="auto"/>
        <w:tabs>
          <w:tab w:leader="none" w:pos="56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Restricted stock units vest 1/3 on the first anniversary of the award date;1/3 on the second anniversary of the award date; and 1/3 on the third anniversary of the award date.</w:t>
      </w:r>
    </w:p>
    <w:p>
      <w:pPr>
        <w:spacing w:after="0" w:line="38" w:lineRule="exact"/>
        <w:rPr>
          <w:rFonts w:ascii="Arial" w:cs="Arial" w:eastAsia="Arial" w:hAnsi="Arial"/>
          <w:sz w:val="22"/>
          <w:szCs w:val="22"/>
          <w:color w:val="auto"/>
          <w:vertAlign w:val="superscript"/>
        </w:rPr>
      </w:pPr>
    </w:p>
    <w:p>
      <w:pPr>
        <w:ind w:left="560" w:hanging="225"/>
        <w:spacing w:after="0"/>
        <w:tabs>
          <w:tab w:leader="none" w:pos="56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Total includes 4,789 restricted stock units granted August 12, 2025, in connection with Mr. Berry’s August 2025 appointment as COO.</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Analysis – Program Design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approving the 2025 long-term incentive grant values awarded through the Annual Long-Term Incentive Plan in February 2025, the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Committee considered the following factors:</w:t>
      </w:r>
    </w:p>
    <w:p>
      <w:pPr>
        <w:spacing w:after="0" w:line="138" w:lineRule="exact"/>
        <w:rPr>
          <w:sz w:val="20"/>
          <w:szCs w:val="20"/>
          <w:color w:val="auto"/>
        </w:rPr>
      </w:pPr>
    </w:p>
    <w:p>
      <w:pPr>
        <w:ind w:left="660" w:hanging="325"/>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Updated market competitiveness analysis by the independent compensation consultant;</w:t>
      </w:r>
    </w:p>
    <w:p>
      <w:pPr>
        <w:spacing w:after="0" w:line="152" w:lineRule="exact"/>
        <w:rPr>
          <w:rFonts w:ascii="Arial" w:cs="Arial" w:eastAsia="Arial" w:hAnsi="Arial"/>
          <w:sz w:val="15"/>
          <w:szCs w:val="15"/>
          <w:color w:val="auto"/>
        </w:rPr>
      </w:pPr>
    </w:p>
    <w:p>
      <w:pPr>
        <w:jc w:val="both"/>
        <w:ind w:left="660" w:hanging="325"/>
        <w:spacing w:after="0" w:line="285" w:lineRule="auto"/>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Increased size, geographic scope, and business complexity of the Company, and the continued expansion into Asia Pacific and Latin America, resulting in significant growth in those regions that included the creation of numerous new subsidiaries over the past two years;</w:t>
      </w:r>
    </w:p>
    <w:p>
      <w:pPr>
        <w:spacing w:after="0" w:line="100"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Regulatory and clinical challenges associated with the transition to the MDR in Europe and the introduction of the Company’s aortic stent graft products into the U.S. market;</w:t>
      </w:r>
    </w:p>
    <w:p>
      <w:pPr>
        <w:spacing w:after="0" w:line="89" w:lineRule="exact"/>
        <w:rPr>
          <w:rFonts w:ascii="Arial" w:cs="Arial" w:eastAsia="Arial" w:hAnsi="Arial"/>
          <w:sz w:val="15"/>
          <w:szCs w:val="15"/>
          <w:color w:val="auto"/>
        </w:rPr>
      </w:pPr>
    </w:p>
    <w:p>
      <w:pPr>
        <w:ind w:left="660" w:hanging="325"/>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2024 personal and Company performance;</w:t>
      </w:r>
    </w:p>
    <w:p>
      <w:pPr>
        <w:spacing w:after="0" w:line="152" w:lineRule="exact"/>
        <w:rPr>
          <w:rFonts w:ascii="Arial" w:cs="Arial" w:eastAsia="Arial" w:hAnsi="Arial"/>
          <w:sz w:val="15"/>
          <w:szCs w:val="15"/>
          <w:color w:val="auto"/>
        </w:rPr>
      </w:pPr>
    </w:p>
    <w:p>
      <w:pPr>
        <w:ind w:left="660" w:hanging="325"/>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Committee’s continued desire to have a mix of value among restricted stock and performance stock units for the annual awards;</w:t>
      </w:r>
    </w:p>
    <w:p>
      <w:pPr>
        <w:spacing w:after="0" w:line="163"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compensation program’s design, which emphasizes pay-for-performance and aligns executive officer performance (and resulting compensation) with stockholder interests;</w:t>
      </w:r>
    </w:p>
    <w:p>
      <w:pPr>
        <w:spacing w:after="0" w:line="89" w:lineRule="exact"/>
        <w:rPr>
          <w:rFonts w:ascii="Arial" w:cs="Arial" w:eastAsia="Arial" w:hAnsi="Arial"/>
          <w:sz w:val="15"/>
          <w:szCs w:val="15"/>
          <w:color w:val="auto"/>
        </w:rPr>
      </w:pPr>
    </w:p>
    <w:p>
      <w:pPr>
        <w:ind w:left="660" w:hanging="325"/>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Performance and retention incentives achieved through the use of annual equity grants; and</w:t>
      </w:r>
    </w:p>
    <w:p>
      <w:pPr>
        <w:spacing w:after="0" w:line="152" w:lineRule="exact"/>
        <w:rPr>
          <w:rFonts w:ascii="Arial" w:cs="Arial" w:eastAsia="Arial" w:hAnsi="Arial"/>
          <w:sz w:val="15"/>
          <w:szCs w:val="15"/>
          <w:color w:val="auto"/>
        </w:rPr>
      </w:pPr>
    </w:p>
    <w:p>
      <w:pPr>
        <w:ind w:left="660" w:hanging="325"/>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parameters of Artivion’s stockholder-approved equity plan, the 2020 ECIP, and the availability of shares under that plan.</w:t>
      </w:r>
    </w:p>
    <w:p>
      <w:pPr>
        <w:spacing w:after="0" w:line="164"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Committee determined vesting schedules in consultation with Willis Towers Watson and management and believed that such vesting provided the appropriate long-term incentive and retention for executive officers’ continued employment. All annual long-term incentive (time-based) awards vest over a three-year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Analysis – Plan Payout – PSUs Earned</w:t>
      </w:r>
    </w:p>
    <w:p>
      <w:pPr>
        <w:spacing w:after="0" w:line="120"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As set forth above at page 27, in arriving at its decision in February 2026 to certify the PSUs earned by NEOs, the Committee took into consideration the Company’s actual performance results relative to the above-described metrics and adjusted the payout to account for the Committee’s overall assessment of management’s performance during 2025. The following table presents the threshold, target, and maximum performance levels associated with threshold, target, and maximum award opportunities, which fall on a sliding scale for the 2025 annual PSU award grants. The table also provides the actual performance level for 2025, as certified and adjusted by the Committee, together with the associated level of shares that were earned.</w:t>
      </w:r>
    </w:p>
    <w:p>
      <w:pPr>
        <w:sectPr>
          <w:pgSz w:w="11900" w:h="16838" w:orient="portrait"/>
          <w:cols w:equalWidth="0" w:num="1">
            <w:col w:w="10020"/>
          </w:cols>
          <w:pgMar w:left="980" w:top="89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93" w:right="89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5"/>
          <w:szCs w:val="15"/>
          <w:b w:val="1"/>
          <w:bCs w:val="1"/>
          <w:color w:val="auto"/>
        </w:rPr>
        <w:t>2025 Performance Stock Units – Annual Award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Actual vs. Threshold/Target/Maximum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5635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56350" cy="762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Arial" w:cs="Arial" w:eastAsia="Arial" w:hAnsi="Arial"/>
                <w:sz w:val="15"/>
                <w:szCs w:val="15"/>
                <w:b w:val="1"/>
                <w:bCs w:val="1"/>
                <w:color w:val="auto"/>
              </w:rPr>
              <w:t>Payout</w:t>
            </w:r>
          </w:p>
        </w:tc>
        <w:tc>
          <w:tcPr>
            <w:tcW w:w="0" w:type="dxa"/>
            <w:vAlign w:val="bottom"/>
          </w:tcPr>
          <w:p>
            <w:pPr>
              <w:spacing w:after="0"/>
              <w:rPr>
                <w:sz w:val="1"/>
                <w:szCs w:val="1"/>
                <w:color w:val="auto"/>
              </w:rPr>
            </w:pPr>
          </w:p>
        </w:tc>
      </w:tr>
      <w:tr>
        <w:trPr>
          <w:trHeight w:val="174"/>
        </w:trPr>
        <w:tc>
          <w:tcPr>
            <w:tcW w:w="35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Threshold</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rPr>
              <w:t>Target</w:t>
            </w: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rPr>
              <w:t>Maximum</w:t>
            </w:r>
          </w:p>
        </w:tc>
        <w:tc>
          <w:tcPr>
            <w:tcW w:w="1300" w:type="dxa"/>
            <w:vAlign w:val="bottom"/>
          </w:tcPr>
          <w:p>
            <w:pPr>
              <w:jc w:val="center"/>
              <w:ind w:left="43"/>
              <w:spacing w:after="0"/>
              <w:rPr>
                <w:sz w:val="20"/>
                <w:szCs w:val="20"/>
                <w:color w:val="auto"/>
              </w:rPr>
            </w:pPr>
            <w:r>
              <w:rPr>
                <w:rFonts w:ascii="Arial" w:cs="Arial" w:eastAsia="Arial" w:hAnsi="Arial"/>
                <w:sz w:val="15"/>
                <w:szCs w:val="15"/>
                <w:b w:val="1"/>
                <w:bCs w:val="1"/>
                <w:color w:val="auto"/>
              </w:rPr>
              <w:t>Actual</w:t>
            </w:r>
          </w:p>
        </w:tc>
        <w:tc>
          <w:tcPr>
            <w:tcW w:w="1080" w:type="dxa"/>
            <w:vAlign w:val="bottom"/>
          </w:tcPr>
          <w:p>
            <w:pPr>
              <w:jc w:val="right"/>
              <w:ind w:right="43"/>
              <w:spacing w:after="0"/>
              <w:rPr>
                <w:sz w:val="20"/>
                <w:szCs w:val="20"/>
                <w:color w:val="auto"/>
              </w:rPr>
            </w:pPr>
            <w:r>
              <w:rPr>
                <w:rFonts w:ascii="Arial" w:cs="Arial" w:eastAsia="Arial" w:hAnsi="Arial"/>
                <w:sz w:val="15"/>
                <w:szCs w:val="15"/>
                <w:b w:val="1"/>
                <w:bCs w:val="1"/>
                <w:color w:val="auto"/>
              </w:rPr>
              <w:t>% of Target</w:t>
            </w:r>
          </w:p>
        </w:tc>
        <w:tc>
          <w:tcPr>
            <w:tcW w:w="0" w:type="dxa"/>
            <w:vAlign w:val="bottom"/>
          </w:tcPr>
          <w:p>
            <w:pPr>
              <w:spacing w:after="0"/>
              <w:rPr>
                <w:sz w:val="1"/>
                <w:szCs w:val="1"/>
                <w:color w:val="auto"/>
              </w:rPr>
            </w:pPr>
          </w:p>
        </w:tc>
      </w:tr>
      <w:tr>
        <w:trPr>
          <w:trHeight w:val="206"/>
        </w:trPr>
        <w:tc>
          <w:tcPr>
            <w:tcW w:w="3520" w:type="dxa"/>
            <w:vAlign w:val="bottom"/>
            <w:tcBorders>
              <w:bottom w:val="single" w:sz="8" w:color="auto"/>
            </w:tcBorders>
          </w:tcPr>
          <w:p>
            <w:pPr>
              <w:ind w:left="940"/>
              <w:spacing w:after="0"/>
              <w:rPr>
                <w:sz w:val="20"/>
                <w:szCs w:val="20"/>
                <w:color w:val="auto"/>
              </w:rPr>
            </w:pPr>
            <w:r>
              <w:rPr>
                <w:rFonts w:ascii="Arial" w:cs="Arial" w:eastAsia="Arial" w:hAnsi="Arial"/>
                <w:sz w:val="15"/>
                <w:szCs w:val="15"/>
                <w:b w:val="1"/>
                <w:bCs w:val="1"/>
                <w:color w:val="auto"/>
              </w:rPr>
              <w:t>Performance Measure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Performance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Performance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Performance</w:t>
            </w:r>
          </w:p>
        </w:tc>
        <w:tc>
          <w:tcPr>
            <w:tcW w:w="130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b w:val="1"/>
                <w:bCs w:val="1"/>
                <w:color w:val="auto"/>
              </w:rPr>
              <w:t>Performance</w:t>
            </w:r>
          </w:p>
        </w:tc>
        <w:tc>
          <w:tcPr>
            <w:tcW w:w="10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2"/>
        </w:trPr>
        <w:tc>
          <w:tcPr>
            <w:tcW w:w="3520" w:type="dxa"/>
            <w:vAlign w:val="bottom"/>
            <w:shd w:val="clear" w:color="auto" w:fill="DFE4EA"/>
          </w:tcPr>
          <w:p>
            <w:pPr>
              <w:spacing w:after="0"/>
              <w:rPr>
                <w:sz w:val="20"/>
                <w:szCs w:val="20"/>
                <w:color w:val="auto"/>
              </w:rPr>
            </w:pPr>
            <w:r>
              <w:rPr>
                <w:rFonts w:ascii="Arial" w:cs="Arial" w:eastAsia="Arial" w:hAnsi="Arial"/>
                <w:sz w:val="15"/>
                <w:szCs w:val="15"/>
                <w:color w:val="auto"/>
              </w:rPr>
              <w:t>Revenue Growth Rate; Constant Currency (2025</w:t>
            </w:r>
          </w:p>
        </w:tc>
        <w:tc>
          <w:tcPr>
            <w:tcW w:w="130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8.0% growth</w:t>
            </w:r>
          </w:p>
        </w:tc>
        <w:tc>
          <w:tcPr>
            <w:tcW w:w="138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13.0% growth</w:t>
            </w:r>
          </w:p>
        </w:tc>
        <w:tc>
          <w:tcPr>
            <w:tcW w:w="1440" w:type="dxa"/>
            <w:vAlign w:val="bottom"/>
            <w:vMerge w:val="restart"/>
            <w:shd w:val="clear" w:color="auto" w:fill="DFE4EA"/>
          </w:tcPr>
          <w:p>
            <w:pPr>
              <w:jc w:val="center"/>
              <w:spacing w:after="0"/>
              <w:rPr>
                <w:sz w:val="20"/>
                <w:szCs w:val="20"/>
                <w:color w:val="auto"/>
              </w:rPr>
            </w:pPr>
            <w:r>
              <w:rPr>
                <w:rFonts w:ascii="Arial" w:cs="Arial" w:eastAsia="Arial" w:hAnsi="Arial"/>
                <w:sz w:val="15"/>
                <w:szCs w:val="15"/>
                <w:color w:val="auto"/>
              </w:rPr>
              <w:t>19.0% growth</w:t>
            </w:r>
          </w:p>
        </w:tc>
        <w:tc>
          <w:tcPr>
            <w:tcW w:w="1300" w:type="dxa"/>
            <w:vAlign w:val="bottom"/>
            <w:vMerge w:val="restart"/>
            <w:shd w:val="clear" w:color="auto" w:fill="DFE4EA"/>
          </w:tcPr>
          <w:p>
            <w:pPr>
              <w:jc w:val="center"/>
              <w:ind w:left="43"/>
              <w:spacing w:after="0"/>
              <w:rPr>
                <w:sz w:val="20"/>
                <w:szCs w:val="20"/>
                <w:color w:val="auto"/>
              </w:rPr>
            </w:pPr>
            <w:r>
              <w:rPr>
                <w:rFonts w:ascii="Arial" w:cs="Arial" w:eastAsia="Arial" w:hAnsi="Arial"/>
                <w:sz w:val="15"/>
                <w:szCs w:val="15"/>
                <w:color w:val="auto"/>
              </w:rPr>
              <w:t>13.2% growth</w:t>
            </w:r>
          </w:p>
        </w:tc>
        <w:tc>
          <w:tcPr>
            <w:tcW w:w="1080" w:type="dxa"/>
            <w:vAlign w:val="bottom"/>
            <w:vMerge w:val="restart"/>
            <w:shd w:val="clear" w:color="auto" w:fill="DFE4EA"/>
          </w:tcPr>
          <w:p>
            <w:pPr>
              <w:jc w:val="right"/>
              <w:ind w:right="203"/>
              <w:spacing w:after="0"/>
              <w:rPr>
                <w:sz w:val="20"/>
                <w:szCs w:val="20"/>
                <w:color w:val="auto"/>
              </w:rPr>
            </w:pPr>
            <w:r>
              <w:rPr>
                <w:rFonts w:ascii="Arial" w:cs="Arial" w:eastAsia="Arial" w:hAnsi="Arial"/>
                <w:sz w:val="15"/>
                <w:szCs w:val="15"/>
                <w:color w:val="auto"/>
              </w:rPr>
              <w:t>104.8%</w:t>
            </w:r>
          </w:p>
        </w:tc>
        <w:tc>
          <w:tcPr>
            <w:tcW w:w="0" w:type="dxa"/>
            <w:vAlign w:val="bottom"/>
          </w:tcPr>
          <w:p>
            <w:pPr>
              <w:spacing w:after="0"/>
              <w:rPr>
                <w:sz w:val="1"/>
                <w:szCs w:val="1"/>
                <w:color w:val="auto"/>
              </w:rPr>
            </w:pPr>
          </w:p>
        </w:tc>
      </w:tr>
      <w:tr>
        <w:trPr>
          <w:trHeight w:val="111"/>
        </w:trPr>
        <w:tc>
          <w:tcPr>
            <w:tcW w:w="3520" w:type="dxa"/>
            <w:vAlign w:val="bottom"/>
            <w:vMerge w:val="restart"/>
            <w:shd w:val="clear" w:color="auto" w:fill="DFE4EA"/>
          </w:tcPr>
          <w:p>
            <w:pPr>
              <w:spacing w:after="0"/>
              <w:rPr>
                <w:sz w:val="20"/>
                <w:szCs w:val="20"/>
                <w:color w:val="auto"/>
              </w:rPr>
            </w:pPr>
            <w:r>
              <w:rPr>
                <w:rFonts w:ascii="Arial" w:cs="Arial" w:eastAsia="Arial" w:hAnsi="Arial"/>
                <w:sz w:val="15"/>
                <w:szCs w:val="15"/>
                <w:color w:val="auto"/>
              </w:rPr>
              <w:t>v. 2024)</w:t>
            </w:r>
          </w:p>
        </w:tc>
        <w:tc>
          <w:tcPr>
            <w:tcW w:w="1300" w:type="dxa"/>
            <w:vAlign w:val="bottom"/>
            <w:vMerge w:val="continue"/>
            <w:shd w:val="clear" w:color="auto" w:fill="DFE4EA"/>
          </w:tcPr>
          <w:p>
            <w:pPr>
              <w:spacing w:after="0"/>
              <w:rPr>
                <w:sz w:val="9"/>
                <w:szCs w:val="9"/>
                <w:color w:val="auto"/>
              </w:rPr>
            </w:pPr>
          </w:p>
        </w:tc>
        <w:tc>
          <w:tcPr>
            <w:tcW w:w="1380" w:type="dxa"/>
            <w:vAlign w:val="bottom"/>
            <w:vMerge w:val="continue"/>
            <w:shd w:val="clear" w:color="auto" w:fill="DFE4EA"/>
          </w:tcPr>
          <w:p>
            <w:pPr>
              <w:spacing w:after="0"/>
              <w:rPr>
                <w:sz w:val="9"/>
                <w:szCs w:val="9"/>
                <w:color w:val="auto"/>
              </w:rPr>
            </w:pPr>
          </w:p>
        </w:tc>
        <w:tc>
          <w:tcPr>
            <w:tcW w:w="1440" w:type="dxa"/>
            <w:vAlign w:val="bottom"/>
            <w:vMerge w:val="continue"/>
            <w:shd w:val="clear" w:color="auto" w:fill="DFE4EA"/>
          </w:tcPr>
          <w:p>
            <w:pPr>
              <w:spacing w:after="0"/>
              <w:rPr>
                <w:sz w:val="9"/>
                <w:szCs w:val="9"/>
                <w:color w:val="auto"/>
              </w:rPr>
            </w:pPr>
          </w:p>
        </w:tc>
        <w:tc>
          <w:tcPr>
            <w:tcW w:w="1300" w:type="dxa"/>
            <w:vAlign w:val="bottom"/>
            <w:vMerge w:val="continue"/>
            <w:shd w:val="clear" w:color="auto" w:fill="DFE4EA"/>
          </w:tcPr>
          <w:p>
            <w:pPr>
              <w:spacing w:after="0"/>
              <w:rPr>
                <w:sz w:val="9"/>
                <w:szCs w:val="9"/>
                <w:color w:val="auto"/>
              </w:rPr>
            </w:pPr>
          </w:p>
        </w:tc>
        <w:tc>
          <w:tcPr>
            <w:tcW w:w="1080" w:type="dxa"/>
            <w:vAlign w:val="bottom"/>
            <w:vMerge w:val="continue"/>
            <w:shd w:val="clear" w:color="auto" w:fill="DFE4EA"/>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520" w:type="dxa"/>
            <w:vAlign w:val="bottom"/>
            <w:vMerge w:val="continue"/>
            <w:shd w:val="clear" w:color="auto" w:fill="DFE4EA"/>
          </w:tcPr>
          <w:p>
            <w:pPr>
              <w:spacing w:after="0"/>
              <w:rPr>
                <w:sz w:val="8"/>
                <w:szCs w:val="8"/>
                <w:color w:val="auto"/>
              </w:rPr>
            </w:pPr>
          </w:p>
        </w:tc>
        <w:tc>
          <w:tcPr>
            <w:tcW w:w="1300" w:type="dxa"/>
            <w:vAlign w:val="bottom"/>
            <w:shd w:val="clear" w:color="auto" w:fill="DFE4EA"/>
          </w:tcPr>
          <w:p>
            <w:pPr>
              <w:spacing w:after="0"/>
              <w:rPr>
                <w:sz w:val="8"/>
                <w:szCs w:val="8"/>
                <w:color w:val="auto"/>
              </w:rPr>
            </w:pPr>
          </w:p>
        </w:tc>
        <w:tc>
          <w:tcPr>
            <w:tcW w:w="1380" w:type="dxa"/>
            <w:vAlign w:val="bottom"/>
            <w:shd w:val="clear" w:color="auto" w:fill="DFE4EA"/>
          </w:tcPr>
          <w:p>
            <w:pPr>
              <w:spacing w:after="0"/>
              <w:rPr>
                <w:sz w:val="8"/>
                <w:szCs w:val="8"/>
                <w:color w:val="auto"/>
              </w:rPr>
            </w:pPr>
          </w:p>
        </w:tc>
        <w:tc>
          <w:tcPr>
            <w:tcW w:w="1440" w:type="dxa"/>
            <w:vAlign w:val="bottom"/>
            <w:shd w:val="clear" w:color="auto" w:fill="DFE4EA"/>
          </w:tcPr>
          <w:p>
            <w:pPr>
              <w:spacing w:after="0"/>
              <w:rPr>
                <w:sz w:val="8"/>
                <w:szCs w:val="8"/>
                <w:color w:val="auto"/>
              </w:rPr>
            </w:pPr>
          </w:p>
        </w:tc>
        <w:tc>
          <w:tcPr>
            <w:tcW w:w="1300" w:type="dxa"/>
            <w:vAlign w:val="bottom"/>
            <w:shd w:val="clear" w:color="auto" w:fill="DFE4EA"/>
          </w:tcPr>
          <w:p>
            <w:pPr>
              <w:spacing w:after="0"/>
              <w:rPr>
                <w:sz w:val="8"/>
                <w:szCs w:val="8"/>
                <w:color w:val="auto"/>
              </w:rPr>
            </w:pPr>
          </w:p>
        </w:tc>
        <w:tc>
          <w:tcPr>
            <w:tcW w:w="1080" w:type="dxa"/>
            <w:vAlign w:val="bottom"/>
            <w:shd w:val="clear" w:color="auto" w:fill="DFE4EA"/>
          </w:tcPr>
          <w:p>
            <w:pPr>
              <w:spacing w:after="0"/>
              <w:rPr>
                <w:sz w:val="8"/>
                <w:szCs w:val="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0020"/>
          </w:cols>
          <w:pgMar w:left="980" w:top="1016" w:right="899" w:bottom="1440" w:gutter="0" w:footer="0" w:header="0"/>
        </w:sectPr>
      </w:pPr>
    </w:p>
    <w:p>
      <w:pPr>
        <w:spacing w:after="0"/>
        <w:rPr>
          <w:sz w:val="20"/>
          <w:szCs w:val="20"/>
          <w:color w:val="auto"/>
        </w:rPr>
      </w:pPr>
      <w:r>
        <w:rPr>
          <w:rFonts w:ascii="Arial" w:cs="Arial" w:eastAsia="Arial" w:hAnsi="Arial"/>
          <w:sz w:val="15"/>
          <w:szCs w:val="15"/>
          <w:color w:val="auto"/>
        </w:rPr>
        <w:t>Financial Metric Potential Payouts (%)</w:t>
      </w:r>
    </w:p>
    <w:p>
      <w:pPr>
        <w:spacing w:after="0" w:line="48" w:lineRule="exact"/>
        <w:rPr>
          <w:sz w:val="20"/>
          <w:szCs w:val="20"/>
          <w:color w:val="auto"/>
        </w:rPr>
      </w:pPr>
    </w:p>
    <w:p>
      <w:pPr>
        <w:ind w:right="420"/>
        <w:spacing w:after="0" w:line="274" w:lineRule="auto"/>
        <w:rPr>
          <w:sz w:val="20"/>
          <w:szCs w:val="20"/>
          <w:color w:val="auto"/>
        </w:rPr>
      </w:pPr>
      <w:r>
        <w:rPr>
          <w:rFonts w:ascii="Arial" w:cs="Arial" w:eastAsia="Arial" w:hAnsi="Arial"/>
          <w:sz w:val="15"/>
          <w:szCs w:val="15"/>
          <w:color w:val="auto"/>
        </w:rPr>
        <w:t>Adjusted EBITDA Growth Rate; Constant Currency (2025 v. 2024)</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Financial Metric Potential Payouts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jc w:val="right"/>
              <w:ind w:right="483"/>
              <w:spacing w:after="0"/>
              <w:rPr>
                <w:sz w:val="20"/>
                <w:szCs w:val="20"/>
                <w:color w:val="auto"/>
              </w:rPr>
            </w:pPr>
            <w:r>
              <w:rPr>
                <w:rFonts w:ascii="Arial" w:cs="Arial" w:eastAsia="Arial" w:hAnsi="Arial"/>
                <w:sz w:val="15"/>
                <w:szCs w:val="15"/>
                <w:color w:val="auto"/>
              </w:rPr>
              <w:t>30</w:t>
            </w:r>
          </w:p>
        </w:tc>
        <w:tc>
          <w:tcPr>
            <w:tcW w:w="1380" w:type="dxa"/>
            <w:vAlign w:val="bottom"/>
          </w:tcPr>
          <w:p>
            <w:pPr>
              <w:jc w:val="center"/>
              <w:spacing w:after="0"/>
              <w:rPr>
                <w:sz w:val="20"/>
                <w:szCs w:val="20"/>
                <w:color w:val="auto"/>
              </w:rPr>
            </w:pPr>
            <w:r>
              <w:rPr>
                <w:rFonts w:ascii="Arial" w:cs="Arial" w:eastAsia="Arial" w:hAnsi="Arial"/>
                <w:sz w:val="15"/>
                <w:szCs w:val="15"/>
                <w:color w:val="auto"/>
              </w:rPr>
              <w:t>100</w:t>
            </w:r>
          </w:p>
        </w:tc>
        <w:tc>
          <w:tcPr>
            <w:tcW w:w="1300" w:type="dxa"/>
            <w:vAlign w:val="bottom"/>
          </w:tcPr>
          <w:p>
            <w:pPr>
              <w:jc w:val="center"/>
              <w:ind w:left="83"/>
              <w:spacing w:after="0"/>
              <w:rPr>
                <w:sz w:val="20"/>
                <w:szCs w:val="20"/>
                <w:color w:val="auto"/>
              </w:rPr>
            </w:pPr>
            <w:r>
              <w:rPr>
                <w:rFonts w:ascii="Arial" w:cs="Arial" w:eastAsia="Arial" w:hAnsi="Arial"/>
                <w:sz w:val="15"/>
                <w:szCs w:val="15"/>
                <w:color w:val="auto"/>
              </w:rPr>
              <w:t>200</w:t>
            </w:r>
          </w:p>
        </w:tc>
        <w:tc>
          <w:tcPr>
            <w:tcW w:w="1520" w:type="dxa"/>
            <w:vAlign w:val="bottom"/>
          </w:tcPr>
          <w:p>
            <w:pPr>
              <w:jc w:val="center"/>
              <w:ind w:left="83"/>
              <w:spacing w:after="0"/>
              <w:rPr>
                <w:sz w:val="20"/>
                <w:szCs w:val="20"/>
                <w:color w:val="auto"/>
              </w:rPr>
            </w:pPr>
            <w:r>
              <w:rPr>
                <w:rFonts w:ascii="Arial" w:cs="Arial" w:eastAsia="Arial" w:hAnsi="Arial"/>
                <w:sz w:val="15"/>
                <w:szCs w:val="15"/>
                <w:color w:val="auto"/>
              </w:rPr>
              <w:t>—</w:t>
            </w:r>
          </w:p>
        </w:tc>
        <w:tc>
          <w:tcPr>
            <w:tcW w:w="720" w:type="dxa"/>
            <w:vAlign w:val="bottom"/>
          </w:tcPr>
          <w:p>
            <w:pPr>
              <w:jc w:val="center"/>
              <w:ind w:left="123"/>
              <w:spacing w:after="0"/>
              <w:rPr>
                <w:sz w:val="20"/>
                <w:szCs w:val="20"/>
                <w:color w:val="auto"/>
              </w:rPr>
            </w:pPr>
            <w:r>
              <w:rPr>
                <w:rFonts w:ascii="Arial" w:cs="Arial" w:eastAsia="Arial" w:hAnsi="Arial"/>
                <w:sz w:val="15"/>
                <w:szCs w:val="15"/>
                <w:color w:val="auto"/>
              </w:rPr>
              <w:t>—</w:t>
            </w:r>
          </w:p>
        </w:tc>
      </w:tr>
      <w:tr>
        <w:trPr>
          <w:trHeight w:val="302"/>
        </w:trPr>
        <w:tc>
          <w:tcPr>
            <w:tcW w:w="860" w:type="dxa"/>
            <w:vAlign w:val="bottom"/>
          </w:tcPr>
          <w:p>
            <w:pPr>
              <w:jc w:val="right"/>
              <w:ind w:right="363"/>
              <w:spacing w:after="0"/>
              <w:rPr>
                <w:sz w:val="20"/>
                <w:szCs w:val="20"/>
                <w:color w:val="auto"/>
              </w:rPr>
            </w:pPr>
            <w:r>
              <w:rPr>
                <w:rFonts w:ascii="Arial" w:cs="Arial" w:eastAsia="Arial" w:hAnsi="Arial"/>
                <w:sz w:val="15"/>
                <w:szCs w:val="15"/>
                <w:color w:val="auto"/>
                <w:w w:val="93"/>
              </w:rPr>
              <w:t>16.0%</w:t>
            </w:r>
          </w:p>
        </w:tc>
        <w:tc>
          <w:tcPr>
            <w:tcW w:w="1380" w:type="dxa"/>
            <w:vAlign w:val="bottom"/>
          </w:tcPr>
          <w:p>
            <w:pPr>
              <w:jc w:val="center"/>
              <w:spacing w:after="0"/>
              <w:rPr>
                <w:sz w:val="20"/>
                <w:szCs w:val="20"/>
                <w:color w:val="auto"/>
              </w:rPr>
            </w:pPr>
            <w:r>
              <w:rPr>
                <w:rFonts w:ascii="Arial" w:cs="Arial" w:eastAsia="Arial" w:hAnsi="Arial"/>
                <w:sz w:val="15"/>
                <w:szCs w:val="15"/>
                <w:color w:val="auto"/>
              </w:rPr>
              <w:t>26.0%</w:t>
            </w:r>
          </w:p>
        </w:tc>
        <w:tc>
          <w:tcPr>
            <w:tcW w:w="1300" w:type="dxa"/>
            <w:vAlign w:val="bottom"/>
          </w:tcPr>
          <w:p>
            <w:pPr>
              <w:jc w:val="center"/>
              <w:ind w:left="63"/>
              <w:spacing w:after="0"/>
              <w:rPr>
                <w:sz w:val="20"/>
                <w:szCs w:val="20"/>
                <w:color w:val="auto"/>
              </w:rPr>
            </w:pPr>
            <w:r>
              <w:rPr>
                <w:rFonts w:ascii="Arial" w:cs="Arial" w:eastAsia="Arial" w:hAnsi="Arial"/>
                <w:sz w:val="15"/>
                <w:szCs w:val="15"/>
                <w:color w:val="auto"/>
              </w:rPr>
              <w:t>38.0%</w:t>
            </w:r>
          </w:p>
        </w:tc>
        <w:tc>
          <w:tcPr>
            <w:tcW w:w="1520" w:type="dxa"/>
            <w:vAlign w:val="bottom"/>
          </w:tcPr>
          <w:p>
            <w:pPr>
              <w:jc w:val="center"/>
              <w:ind w:left="103"/>
              <w:spacing w:after="0"/>
              <w:rPr>
                <w:sz w:val="20"/>
                <w:szCs w:val="20"/>
                <w:color w:val="auto"/>
              </w:rPr>
            </w:pPr>
            <w:r>
              <w:rPr>
                <w:rFonts w:ascii="Arial" w:cs="Arial" w:eastAsia="Arial" w:hAnsi="Arial"/>
                <w:sz w:val="15"/>
                <w:szCs w:val="15"/>
                <w:color w:val="auto"/>
              </w:rPr>
              <w:t>28.6% growth</w:t>
            </w:r>
          </w:p>
        </w:tc>
        <w:tc>
          <w:tcPr>
            <w:tcW w:w="720" w:type="dxa"/>
            <w:vAlign w:val="bottom"/>
          </w:tcPr>
          <w:p>
            <w:pPr>
              <w:jc w:val="center"/>
              <w:ind w:left="123"/>
              <w:spacing w:after="0"/>
              <w:rPr>
                <w:sz w:val="20"/>
                <w:szCs w:val="20"/>
                <w:color w:val="auto"/>
              </w:rPr>
            </w:pPr>
            <w:r>
              <w:rPr>
                <w:rFonts w:ascii="Arial" w:cs="Arial" w:eastAsia="Arial" w:hAnsi="Arial"/>
                <w:sz w:val="15"/>
                <w:szCs w:val="15"/>
                <w:color w:val="auto"/>
              </w:rPr>
              <w:t>132.5%</w:t>
            </w:r>
          </w:p>
        </w:tc>
      </w:tr>
      <w:tr>
        <w:trPr>
          <w:trHeight w:val="313"/>
        </w:trPr>
        <w:tc>
          <w:tcPr>
            <w:tcW w:w="860" w:type="dxa"/>
            <w:vAlign w:val="bottom"/>
          </w:tcPr>
          <w:p>
            <w:pPr>
              <w:jc w:val="right"/>
              <w:ind w:right="483"/>
              <w:spacing w:after="0"/>
              <w:rPr>
                <w:sz w:val="20"/>
                <w:szCs w:val="20"/>
                <w:color w:val="auto"/>
              </w:rPr>
            </w:pPr>
            <w:r>
              <w:rPr>
                <w:rFonts w:ascii="Arial" w:cs="Arial" w:eastAsia="Arial" w:hAnsi="Arial"/>
                <w:sz w:val="15"/>
                <w:szCs w:val="15"/>
                <w:color w:val="auto"/>
              </w:rPr>
              <w:t>30</w:t>
            </w:r>
          </w:p>
        </w:tc>
        <w:tc>
          <w:tcPr>
            <w:tcW w:w="1380" w:type="dxa"/>
            <w:vAlign w:val="bottom"/>
          </w:tcPr>
          <w:p>
            <w:pPr>
              <w:jc w:val="center"/>
              <w:spacing w:after="0"/>
              <w:rPr>
                <w:sz w:val="20"/>
                <w:szCs w:val="20"/>
                <w:color w:val="auto"/>
              </w:rPr>
            </w:pPr>
            <w:r>
              <w:rPr>
                <w:rFonts w:ascii="Arial" w:cs="Arial" w:eastAsia="Arial" w:hAnsi="Arial"/>
                <w:sz w:val="15"/>
                <w:szCs w:val="15"/>
                <w:color w:val="auto"/>
              </w:rPr>
              <w:t>100</w:t>
            </w:r>
          </w:p>
        </w:tc>
        <w:tc>
          <w:tcPr>
            <w:tcW w:w="1300" w:type="dxa"/>
            <w:vAlign w:val="bottom"/>
          </w:tcPr>
          <w:p>
            <w:pPr>
              <w:jc w:val="center"/>
              <w:ind w:left="83"/>
              <w:spacing w:after="0"/>
              <w:rPr>
                <w:sz w:val="20"/>
                <w:szCs w:val="20"/>
                <w:color w:val="auto"/>
              </w:rPr>
            </w:pPr>
            <w:r>
              <w:rPr>
                <w:rFonts w:ascii="Arial" w:cs="Arial" w:eastAsia="Arial" w:hAnsi="Arial"/>
                <w:sz w:val="15"/>
                <w:szCs w:val="15"/>
                <w:color w:val="auto"/>
              </w:rPr>
              <w:t>200</w:t>
            </w:r>
          </w:p>
        </w:tc>
        <w:tc>
          <w:tcPr>
            <w:tcW w:w="1520" w:type="dxa"/>
            <w:vAlign w:val="bottom"/>
          </w:tcPr>
          <w:p>
            <w:pPr>
              <w:jc w:val="center"/>
              <w:ind w:left="83"/>
              <w:spacing w:after="0"/>
              <w:rPr>
                <w:sz w:val="20"/>
                <w:szCs w:val="20"/>
                <w:color w:val="auto"/>
              </w:rPr>
            </w:pPr>
            <w:r>
              <w:rPr>
                <w:rFonts w:ascii="Arial" w:cs="Arial" w:eastAsia="Arial" w:hAnsi="Arial"/>
                <w:sz w:val="15"/>
                <w:szCs w:val="15"/>
                <w:color w:val="auto"/>
              </w:rPr>
              <w:t>—</w:t>
            </w:r>
          </w:p>
        </w:tc>
        <w:tc>
          <w:tcPr>
            <w:tcW w:w="720" w:type="dxa"/>
            <w:vAlign w:val="bottom"/>
          </w:tcPr>
          <w:p>
            <w:pPr>
              <w:jc w:val="center"/>
              <w:ind w:left="123"/>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-384810</wp:posOffset>
            </wp:positionV>
            <wp:extent cx="6356350" cy="2501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56350" cy="25019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5080</wp:posOffset>
            </wp:positionV>
            <wp:extent cx="6356350" cy="3606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56350" cy="360680"/>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3240" w:space="720"/>
            <w:col w:w="6060"/>
          </w:cols>
          <w:pgMar w:left="980" w:top="1016" w:right="899" w:bottom="1440" w:gutter="0" w:footer="0" w:header="0"/>
          <w:type w:val="continuous"/>
        </w:sectPr>
      </w:pPr>
    </w:p>
    <w:p>
      <w:pPr>
        <w:ind w:right="80" w:firstLine="1"/>
        <w:spacing w:after="0" w:line="251" w:lineRule="auto"/>
        <w:tabs>
          <w:tab w:leader="none" w:pos="94" w:val="left"/>
        </w:tabs>
        <w:numPr>
          <w:ilvl w:val="0"/>
          <w:numId w:val="36"/>
        </w:numPr>
        <w:rPr>
          <w:rFonts w:ascii="Arial" w:cs="Arial" w:eastAsia="Arial" w:hAnsi="Arial"/>
          <w:sz w:val="15"/>
          <w:szCs w:val="15"/>
          <w:color w:val="auto"/>
        </w:rPr>
      </w:pPr>
      <w:r>
        <w:rPr>
          <w:rFonts w:ascii="Arial" w:cs="Arial" w:eastAsia="Arial" w:hAnsi="Arial"/>
          <w:sz w:val="15"/>
          <w:szCs w:val="15"/>
          <w:color w:val="auto"/>
        </w:rPr>
        <w:t>Performance measures are weighted as follows: constant currency revenue growth rate at 50%; and constant currency adjusted EBITDA growth rate at 50%.</w:t>
      </w:r>
    </w:p>
    <w:p>
      <w:pPr>
        <w:spacing w:after="0" w:line="1" w:lineRule="exact"/>
        <w:rPr>
          <w:rFonts w:ascii="Arial" w:cs="Arial" w:eastAsia="Arial" w:hAnsi="Arial"/>
          <w:sz w:val="15"/>
          <w:szCs w:val="15"/>
          <w:color w:val="auto"/>
        </w:rPr>
      </w:pPr>
    </w:p>
    <w:p>
      <w:pPr>
        <w:ind w:left="100" w:hanging="99"/>
        <w:spacing w:after="0"/>
        <w:tabs>
          <w:tab w:leader="none" w:pos="1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combined resulting final payout, was 118.7% of target.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See Appendix A for further details regarding the constant currency growth and constant currency adjusted EBITDA growth measures.</w:t>
      </w:r>
    </w:p>
    <w:p>
      <w:pPr>
        <w:spacing w:after="0" w:line="152"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2025 PSU payouts in early 2026 were based on actual financial performance results of Artivion relative to the predetermined goals as set forth above at page 27.</w:t>
      </w:r>
    </w:p>
    <w:p>
      <w:pPr>
        <w:spacing w:after="0" w:line="101"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The PSU awards will vest based on the executive officer’s continued service: 1/3 of the shares earned vested on February 28, 2026 (following the Committee’s certification of the adjusted payout of shares under the performance metrics); 1/3 of the shares earned will vest on February 28, 2027; and the remaining 1/3 of the shares earned will vest on February 28, 2028, assuming that (i) the executive officer continues to be employed by the Company on those dates, (ii) if the executive officer is no longer employed, the Committee waives the employment requirement, or (iii) the executive officer has retired in accordance with the definition of Retirement set forth in Artivion’s PSU grant agreement.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shows the target payout and the adjusted payout of PSUs granted to each NEO based on the 2025 performance metrics.</w:t>
      </w:r>
    </w:p>
    <w:p>
      <w:pPr>
        <w:spacing w:after="0" w:line="173" w:lineRule="exact"/>
        <w:rPr>
          <w:sz w:val="20"/>
          <w:szCs w:val="20"/>
          <w:color w:val="auto"/>
        </w:rPr>
      </w:pPr>
    </w:p>
    <w:p>
      <w:pPr>
        <w:ind w:left="3160"/>
        <w:spacing w:after="0"/>
        <w:rPr>
          <w:sz w:val="20"/>
          <w:szCs w:val="20"/>
          <w:color w:val="auto"/>
        </w:rPr>
      </w:pPr>
      <w:r>
        <w:rPr>
          <w:rFonts w:ascii="Arial" w:cs="Arial" w:eastAsia="Arial" w:hAnsi="Arial"/>
          <w:sz w:val="15"/>
          <w:szCs w:val="15"/>
          <w:b w:val="1"/>
          <w:bCs w:val="1"/>
          <w:color w:val="auto"/>
        </w:rPr>
        <w:t>2025 Annual Incentive Program (Annual PSU Plan)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Actual vs. Target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8890</wp:posOffset>
            </wp:positionV>
            <wp:extent cx="408749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87495" cy="7620"/>
                    </a:xfrm>
                    <a:prstGeom prst="rect">
                      <a:avLst/>
                    </a:prstGeom>
                    <a:noFill/>
                  </pic:spPr>
                </pic:pic>
              </a:graphicData>
            </a:graphic>
          </wp:anchor>
        </w:drawing>
      </w:r>
    </w:p>
    <w:p>
      <w:pPr>
        <w:spacing w:after="0" w:line="23" w:lineRule="exact"/>
        <w:rPr>
          <w:sz w:val="20"/>
          <w:szCs w:val="20"/>
          <w:color w:val="auto"/>
        </w:rPr>
      </w:pPr>
    </w:p>
    <w:tbl>
      <w:tblPr>
        <w:tblLayout w:type="fixed"/>
        <w:tblInd w:w="180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rPr>
              <w:t>Adjusted</w:t>
            </w:r>
          </w:p>
        </w:tc>
      </w:tr>
      <w:tr>
        <w:trPr>
          <w:trHeight w:val="174"/>
        </w:trPr>
        <w:tc>
          <w:tcPr>
            <w:tcW w:w="2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rPr>
              <w:t>Actual</w:t>
            </w: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Target</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9"/>
              </w:rPr>
              <w:t>Payout</w:t>
            </w:r>
          </w:p>
        </w:tc>
      </w:tr>
      <w:tr>
        <w:trPr>
          <w:trHeight w:val="174"/>
        </w:trPr>
        <w:tc>
          <w:tcPr>
            <w:tcW w:w="2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rPr>
              <w:t>Payout</w:t>
            </w: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Payout</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rPr>
              <w:t>% of Target</w:t>
            </w:r>
          </w:p>
        </w:tc>
      </w:tr>
      <w:tr>
        <w:trPr>
          <w:trHeight w:val="206"/>
        </w:trPr>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Executive Officer</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(Shares)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(Shares)</w:t>
            </w:r>
          </w:p>
        </w:tc>
        <w:tc>
          <w:tcPr>
            <w:tcW w:w="1480" w:type="dxa"/>
            <w:vAlign w:val="bottom"/>
            <w:tcBorders>
              <w:bottom w:val="single" w:sz="8" w:color="auto"/>
            </w:tcBorders>
          </w:tcPr>
          <w:p>
            <w:pPr>
              <w:jc w:val="center"/>
              <w:ind w:left="3"/>
              <w:spacing w:after="0"/>
              <w:rPr>
                <w:sz w:val="20"/>
                <w:szCs w:val="20"/>
                <w:color w:val="auto"/>
              </w:rPr>
            </w:pPr>
            <w:r>
              <w:rPr>
                <w:rFonts w:ascii="Arial" w:cs="Arial" w:eastAsia="Arial" w:hAnsi="Arial"/>
                <w:sz w:val="15"/>
                <w:szCs w:val="15"/>
                <w:b w:val="1"/>
                <w:bCs w:val="1"/>
                <w:color w:val="auto"/>
              </w:rPr>
              <w:t>(%)</w:t>
            </w:r>
          </w:p>
        </w:tc>
      </w:tr>
      <w:tr>
        <w:trPr>
          <w:trHeight w:val="220"/>
        </w:trPr>
        <w:tc>
          <w:tcPr>
            <w:tcW w:w="2100" w:type="dxa"/>
            <w:vAlign w:val="bottom"/>
            <w:shd w:val="clear" w:color="auto" w:fill="DFE4EA"/>
          </w:tcPr>
          <w:p>
            <w:pPr>
              <w:spacing w:after="0"/>
              <w:rPr>
                <w:sz w:val="20"/>
                <w:szCs w:val="20"/>
                <w:color w:val="auto"/>
              </w:rPr>
            </w:pPr>
            <w:r>
              <w:rPr>
                <w:rFonts w:ascii="Arial" w:cs="Arial" w:eastAsia="Arial" w:hAnsi="Arial"/>
                <w:sz w:val="15"/>
                <w:szCs w:val="15"/>
                <w:color w:val="auto"/>
              </w:rPr>
              <w:t>Mackin</w:t>
            </w:r>
          </w:p>
        </w:tc>
        <w:tc>
          <w:tcPr>
            <w:tcW w:w="14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116,948</w:t>
            </w:r>
          </w:p>
        </w:tc>
        <w:tc>
          <w:tcPr>
            <w:tcW w:w="14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98,524</w:t>
            </w:r>
          </w:p>
        </w:tc>
        <w:tc>
          <w:tcPr>
            <w:tcW w:w="148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118.7</w:t>
            </w:r>
          </w:p>
        </w:tc>
      </w:tr>
      <w:tr>
        <w:trPr>
          <w:trHeight w:val="216"/>
        </w:trPr>
        <w:tc>
          <w:tcPr>
            <w:tcW w:w="2100" w:type="dxa"/>
            <w:vAlign w:val="bottom"/>
          </w:tcPr>
          <w:p>
            <w:pPr>
              <w:spacing w:after="0"/>
              <w:rPr>
                <w:sz w:val="20"/>
                <w:szCs w:val="20"/>
                <w:color w:val="auto"/>
              </w:rPr>
            </w:pPr>
            <w:r>
              <w:rPr>
                <w:rFonts w:ascii="Arial" w:cs="Arial" w:eastAsia="Arial" w:hAnsi="Arial"/>
                <w:sz w:val="15"/>
                <w:szCs w:val="15"/>
                <w:color w:val="auto"/>
              </w:rPr>
              <w:t>Berry</w:t>
            </w:r>
          </w:p>
        </w:tc>
        <w:tc>
          <w:tcPr>
            <w:tcW w:w="1440" w:type="dxa"/>
            <w:vAlign w:val="bottom"/>
          </w:tcPr>
          <w:p>
            <w:pPr>
              <w:jc w:val="center"/>
              <w:spacing w:after="0"/>
              <w:rPr>
                <w:sz w:val="20"/>
                <w:szCs w:val="20"/>
                <w:color w:val="auto"/>
              </w:rPr>
            </w:pPr>
            <w:r>
              <w:rPr>
                <w:rFonts w:ascii="Arial" w:cs="Arial" w:eastAsia="Arial" w:hAnsi="Arial"/>
                <w:sz w:val="15"/>
                <w:szCs w:val="15"/>
                <w:color w:val="auto"/>
              </w:rPr>
              <w:t>40,874</w:t>
            </w:r>
          </w:p>
        </w:tc>
        <w:tc>
          <w:tcPr>
            <w:tcW w:w="1400" w:type="dxa"/>
            <w:vAlign w:val="bottom"/>
          </w:tcPr>
          <w:p>
            <w:pPr>
              <w:jc w:val="center"/>
              <w:spacing w:after="0"/>
              <w:rPr>
                <w:sz w:val="20"/>
                <w:szCs w:val="20"/>
                <w:color w:val="auto"/>
              </w:rPr>
            </w:pPr>
            <w:r>
              <w:rPr>
                <w:rFonts w:ascii="Arial" w:cs="Arial" w:eastAsia="Arial" w:hAnsi="Arial"/>
                <w:sz w:val="15"/>
                <w:szCs w:val="15"/>
                <w:color w:val="auto"/>
              </w:rPr>
              <w:t>34,435</w:t>
            </w:r>
          </w:p>
        </w:tc>
        <w:tc>
          <w:tcPr>
            <w:tcW w:w="1480" w:type="dxa"/>
            <w:vAlign w:val="bottom"/>
          </w:tcPr>
          <w:p>
            <w:pPr>
              <w:jc w:val="center"/>
              <w:spacing w:after="0"/>
              <w:rPr>
                <w:sz w:val="20"/>
                <w:szCs w:val="20"/>
                <w:color w:val="auto"/>
              </w:rPr>
            </w:pPr>
            <w:r>
              <w:rPr>
                <w:rFonts w:ascii="Arial" w:cs="Arial" w:eastAsia="Arial" w:hAnsi="Arial"/>
                <w:sz w:val="15"/>
                <w:szCs w:val="15"/>
                <w:color w:val="auto"/>
              </w:rPr>
              <w:t>118.7</w:t>
            </w:r>
          </w:p>
        </w:tc>
      </w:tr>
      <w:tr>
        <w:trPr>
          <w:trHeight w:val="224"/>
        </w:trPr>
        <w:tc>
          <w:tcPr>
            <w:tcW w:w="2100" w:type="dxa"/>
            <w:vAlign w:val="bottom"/>
            <w:shd w:val="clear" w:color="auto" w:fill="DFE4EA"/>
          </w:tcPr>
          <w:p>
            <w:pPr>
              <w:spacing w:after="0"/>
              <w:rPr>
                <w:sz w:val="20"/>
                <w:szCs w:val="20"/>
                <w:color w:val="auto"/>
              </w:rPr>
            </w:pPr>
            <w:r>
              <w:rPr>
                <w:rFonts w:ascii="Arial" w:cs="Arial" w:eastAsia="Arial" w:hAnsi="Arial"/>
                <w:sz w:val="15"/>
                <w:szCs w:val="15"/>
                <w:color w:val="auto"/>
              </w:rPr>
              <w:t>Holloway</w:t>
            </w:r>
          </w:p>
        </w:tc>
        <w:tc>
          <w:tcPr>
            <w:tcW w:w="14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27,795</w:t>
            </w:r>
          </w:p>
        </w:tc>
        <w:tc>
          <w:tcPr>
            <w:tcW w:w="14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23,416</w:t>
            </w:r>
          </w:p>
        </w:tc>
        <w:tc>
          <w:tcPr>
            <w:tcW w:w="148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118.7</w:t>
            </w:r>
          </w:p>
        </w:tc>
      </w:tr>
      <w:tr>
        <w:trPr>
          <w:trHeight w:val="216"/>
        </w:trPr>
        <w:tc>
          <w:tcPr>
            <w:tcW w:w="2100" w:type="dxa"/>
            <w:vAlign w:val="bottom"/>
          </w:tcPr>
          <w:p>
            <w:pPr>
              <w:spacing w:after="0"/>
              <w:rPr>
                <w:sz w:val="20"/>
                <w:szCs w:val="20"/>
                <w:color w:val="auto"/>
              </w:rPr>
            </w:pPr>
            <w:r>
              <w:rPr>
                <w:rFonts w:ascii="Arial" w:cs="Arial" w:eastAsia="Arial" w:hAnsi="Arial"/>
                <w:sz w:val="15"/>
                <w:szCs w:val="15"/>
                <w:color w:val="auto"/>
              </w:rPr>
              <w:t>Davis</w:t>
            </w:r>
          </w:p>
        </w:tc>
        <w:tc>
          <w:tcPr>
            <w:tcW w:w="1440" w:type="dxa"/>
            <w:vAlign w:val="bottom"/>
          </w:tcPr>
          <w:p>
            <w:pPr>
              <w:jc w:val="center"/>
              <w:spacing w:after="0"/>
              <w:rPr>
                <w:sz w:val="20"/>
                <w:szCs w:val="20"/>
                <w:color w:val="auto"/>
              </w:rPr>
            </w:pPr>
            <w:r>
              <w:rPr>
                <w:rFonts w:ascii="Arial" w:cs="Arial" w:eastAsia="Arial" w:hAnsi="Arial"/>
                <w:sz w:val="15"/>
                <w:szCs w:val="15"/>
                <w:color w:val="auto"/>
              </w:rPr>
              <w:t>28,845</w:t>
            </w:r>
          </w:p>
        </w:tc>
        <w:tc>
          <w:tcPr>
            <w:tcW w:w="1400" w:type="dxa"/>
            <w:vAlign w:val="bottom"/>
          </w:tcPr>
          <w:p>
            <w:pPr>
              <w:jc w:val="center"/>
              <w:spacing w:after="0"/>
              <w:rPr>
                <w:sz w:val="20"/>
                <w:szCs w:val="20"/>
                <w:color w:val="auto"/>
              </w:rPr>
            </w:pPr>
            <w:r>
              <w:rPr>
                <w:rFonts w:ascii="Arial" w:cs="Arial" w:eastAsia="Arial" w:hAnsi="Arial"/>
                <w:sz w:val="15"/>
                <w:szCs w:val="15"/>
                <w:color w:val="auto"/>
              </w:rPr>
              <w:t>24,301</w:t>
            </w:r>
          </w:p>
        </w:tc>
        <w:tc>
          <w:tcPr>
            <w:tcW w:w="1480" w:type="dxa"/>
            <w:vAlign w:val="bottom"/>
          </w:tcPr>
          <w:p>
            <w:pPr>
              <w:jc w:val="center"/>
              <w:spacing w:after="0"/>
              <w:rPr>
                <w:sz w:val="20"/>
                <w:szCs w:val="20"/>
                <w:color w:val="auto"/>
              </w:rPr>
            </w:pPr>
            <w:r>
              <w:rPr>
                <w:rFonts w:ascii="Arial" w:cs="Arial" w:eastAsia="Arial" w:hAnsi="Arial"/>
                <w:sz w:val="15"/>
                <w:szCs w:val="15"/>
                <w:color w:val="auto"/>
              </w:rPr>
              <w:t>118.7</w:t>
            </w:r>
          </w:p>
        </w:tc>
      </w:tr>
      <w:tr>
        <w:trPr>
          <w:trHeight w:val="224"/>
        </w:trPr>
        <w:tc>
          <w:tcPr>
            <w:tcW w:w="2100" w:type="dxa"/>
            <w:vAlign w:val="bottom"/>
            <w:shd w:val="clear" w:color="auto" w:fill="DFE4EA"/>
          </w:tcPr>
          <w:p>
            <w:pPr>
              <w:spacing w:after="0"/>
              <w:rPr>
                <w:sz w:val="20"/>
                <w:szCs w:val="20"/>
                <w:color w:val="auto"/>
              </w:rPr>
            </w:pPr>
            <w:r>
              <w:rPr>
                <w:rFonts w:ascii="Arial" w:cs="Arial" w:eastAsia="Arial" w:hAnsi="Arial"/>
                <w:sz w:val="15"/>
                <w:szCs w:val="15"/>
                <w:color w:val="auto"/>
              </w:rPr>
              <w:t>Stanton</w:t>
            </w:r>
          </w:p>
        </w:tc>
        <w:tc>
          <w:tcPr>
            <w:tcW w:w="14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21,838</w:t>
            </w:r>
          </w:p>
        </w:tc>
        <w:tc>
          <w:tcPr>
            <w:tcW w:w="14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18,398</w:t>
            </w:r>
          </w:p>
        </w:tc>
        <w:tc>
          <w:tcPr>
            <w:tcW w:w="148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118.7</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2025 Annual Target Total Direct Compensation</w:t>
      </w:r>
    </w:p>
    <w:p>
      <w:pPr>
        <w:spacing w:after="0" w:line="110"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The Committee believed that the blend of annual salary, cash bonus, RSUs, and PSUs appropriately achieved the performance, stockholder alignment, and retention objectives of Artivion’s compensation program. The Committee believes that the use of multiple award types is a common practice among industry peers and that the use of PSUs creates an even stronger alignment between pay and performance. The Committee believes that, in addition to incenting long-term performance, annual equity awards encourage continuous performance and retention by reflecting Company success (and changes in the stock price) year over year.</w:t>
      </w:r>
    </w:p>
    <w:p>
      <w:pPr>
        <w:spacing w:after="0" w:line="123"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Committee used a value-based approach, rather than number of shares, to determine the size of 2025 annual equity grants, as it believed that such an approach more accurately matched the intended value of the equity and intended compensation. The Committee applied vesting schedules for the 2025 equity awards that it believes provided the appropriate annual long-term incentive to retain executive officers.</w:t>
      </w:r>
    </w:p>
    <w:p>
      <w:pPr>
        <w:sectPr>
          <w:pgSz w:w="11900" w:h="16838" w:orient="portrait"/>
          <w:cols w:equalWidth="0" w:num="1">
            <w:col w:w="10020"/>
          </w:cols>
          <w:pgMar w:left="980" w:top="1016"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1016" w:right="899" w:bottom="1440" w:gutter="0" w:footer="0" w:header="0"/>
          <w:type w:val="continuous"/>
        </w:sectPr>
      </w:pPr>
    </w:p>
    <w:bookmarkStart w:id="38" w:name="page39"/>
    <w:bookmarkEnd w:id="38"/>
    <w:p>
      <w:pPr>
        <w:jc w:val="both"/>
        <w:ind w:firstLine="334"/>
        <w:spacing w:after="0" w:line="253" w:lineRule="auto"/>
        <w:rPr>
          <w:sz w:val="20"/>
          <w:szCs w:val="20"/>
          <w:color w:val="auto"/>
        </w:rPr>
      </w:pPr>
      <w:r>
        <w:rPr>
          <w:rFonts w:ascii="Arial" w:cs="Arial" w:eastAsia="Arial" w:hAnsi="Arial"/>
          <w:sz w:val="15"/>
          <w:szCs w:val="15"/>
          <w:color w:val="auto"/>
        </w:rPr>
        <w:t>In determining the individual components of the executive officers’ 2025 annual compensation (i.e., salary, target short-term incentive, and annual long-term incentive), the Committee evaluated the resulting target annual total direct compensation against market benchmarks, as set forth below, accounting for the Committee’s desire to have target annual total direct compensation generally within a competitive range of the Company’s peer group median. The following table summarizes the NEOs’ 2025 target annual total direct compensation, the peer group median, and the primary rationale for each NEO’s compensation at the level shown.</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5"/>
                <w:szCs w:val="15"/>
                <w:b w:val="1"/>
                <w:bCs w:val="1"/>
                <w:color w:val="auto"/>
              </w:rPr>
              <w:t>2025 Target Total Direct</w:t>
            </w:r>
          </w:p>
        </w:tc>
        <w:tc>
          <w:tcPr>
            <w:tcW w:w="13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Peer Median</w:t>
            </w:r>
            <w:r>
              <w:rPr>
                <w:rFonts w:ascii="Arial" w:cs="Arial" w:eastAsia="Arial" w:hAnsi="Arial"/>
                <w:sz w:val="24"/>
                <w:szCs w:val="24"/>
                <w:b w:val="1"/>
                <w:bCs w:val="1"/>
                <w:color w:val="auto"/>
                <w:vertAlign w:val="superscript"/>
              </w:rPr>
              <w:t>(2)</w:t>
            </w: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5"/>
                <w:szCs w:val="15"/>
                <w:b w:val="1"/>
                <w:bCs w:val="1"/>
                <w:color w:val="auto"/>
              </w:rPr>
              <w:t>Compensation</w:t>
            </w:r>
          </w:p>
        </w:tc>
        <w:tc>
          <w:tcPr>
            <w:tcW w:w="1300" w:type="dxa"/>
            <w:vAlign w:val="bottom"/>
            <w:vMerge w:val="continue"/>
          </w:tcPr>
          <w:p>
            <w:pPr>
              <w:spacing w:after="0"/>
              <w:rPr>
                <w:sz w:val="15"/>
                <w:szCs w:val="15"/>
                <w:color w:val="auto"/>
              </w:rPr>
            </w:pPr>
          </w:p>
        </w:tc>
        <w:tc>
          <w:tcPr>
            <w:tcW w:w="4200" w:type="dxa"/>
            <w:vAlign w:val="bottom"/>
            <w:vMerge w:val="restart"/>
          </w:tcPr>
          <w:p>
            <w:pPr>
              <w:ind w:left="1400"/>
              <w:spacing w:after="0"/>
              <w:rPr>
                <w:sz w:val="20"/>
                <w:szCs w:val="20"/>
                <w:color w:val="auto"/>
              </w:rPr>
            </w:pPr>
            <w:r>
              <w:rPr>
                <w:rFonts w:ascii="Arial" w:cs="Arial" w:eastAsia="Arial" w:hAnsi="Arial"/>
                <w:sz w:val="15"/>
                <w:szCs w:val="15"/>
                <w:b w:val="1"/>
                <w:bCs w:val="1"/>
                <w:color w:val="auto"/>
              </w:rPr>
              <w:t>Primary Rationale</w:t>
            </w:r>
            <w:r>
              <w:rPr>
                <w:rFonts w:ascii="Arial" w:cs="Arial" w:eastAsia="Arial" w:hAnsi="Arial"/>
                <w:sz w:val="24"/>
                <w:szCs w:val="24"/>
                <w:b w:val="1"/>
                <w:bCs w:val="1"/>
                <w:color w:val="auto"/>
                <w:vertAlign w:val="superscript"/>
              </w:rPr>
              <w:t>(3)</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Executive Officer</w:t>
            </w:r>
          </w:p>
        </w:tc>
        <w:tc>
          <w:tcPr>
            <w:tcW w:w="208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15"/>
                <w:szCs w:val="15"/>
                <w:b w:val="1"/>
                <w:bCs w:val="1"/>
                <w:color w:val="auto"/>
                <w:w w:val="98"/>
              </w:rPr>
              <w:t>Opportunity</w:t>
            </w:r>
            <w:r>
              <w:rPr>
                <w:rFonts w:ascii="Arial" w:cs="Arial" w:eastAsia="Arial" w:hAnsi="Arial"/>
                <w:sz w:val="24"/>
                <w:szCs w:val="24"/>
                <w:b w:val="1"/>
                <w:bCs w:val="1"/>
                <w:color w:val="auto"/>
                <w:w w:val="98"/>
                <w:vertAlign w:val="superscript"/>
              </w:rPr>
              <w:t>(1)</w:t>
            </w:r>
            <w:r>
              <w:rPr>
                <w:rFonts w:ascii="Arial" w:cs="Arial" w:eastAsia="Arial" w:hAnsi="Arial"/>
                <w:sz w:val="15"/>
                <w:szCs w:val="15"/>
                <w:b w:val="1"/>
                <w:bCs w:val="1"/>
                <w:color w:val="auto"/>
                <w:w w:val="98"/>
              </w:rPr>
              <w:t xml:space="preserve"> ($)</w:t>
            </w:r>
          </w:p>
        </w:tc>
        <w:tc>
          <w:tcPr>
            <w:tcW w:w="130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w:t>
            </w:r>
          </w:p>
        </w:tc>
        <w:tc>
          <w:tcPr>
            <w:tcW w:w="4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60" w:type="dxa"/>
            <w:vAlign w:val="bottom"/>
            <w:shd w:val="clear" w:color="auto" w:fill="DFE4EA"/>
          </w:tcPr>
          <w:p>
            <w:pPr>
              <w:ind w:left="40"/>
              <w:spacing w:after="0"/>
              <w:rPr>
                <w:sz w:val="20"/>
                <w:szCs w:val="20"/>
                <w:color w:val="auto"/>
              </w:rPr>
            </w:pPr>
            <w:r>
              <w:rPr>
                <w:rFonts w:ascii="Arial" w:cs="Arial" w:eastAsia="Arial" w:hAnsi="Arial"/>
                <w:sz w:val="15"/>
                <w:szCs w:val="15"/>
                <w:color w:val="auto"/>
              </w:rPr>
              <w:t>Mackin</w:t>
            </w:r>
          </w:p>
        </w:tc>
        <w:tc>
          <w:tcPr>
            <w:tcW w:w="208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6,677,290</w:t>
            </w:r>
          </w:p>
        </w:tc>
        <w:tc>
          <w:tcPr>
            <w:tcW w:w="1300" w:type="dxa"/>
            <w:vAlign w:val="bottom"/>
            <w:shd w:val="clear" w:color="auto" w:fill="DFE4EA"/>
          </w:tcPr>
          <w:p>
            <w:pPr>
              <w:ind w:left="340"/>
              <w:spacing w:after="0"/>
              <w:rPr>
                <w:sz w:val="20"/>
                <w:szCs w:val="20"/>
                <w:color w:val="auto"/>
              </w:rPr>
            </w:pPr>
            <w:r>
              <w:rPr>
                <w:rFonts w:ascii="Arial" w:cs="Arial" w:eastAsia="Arial" w:hAnsi="Arial"/>
                <w:sz w:val="15"/>
                <w:szCs w:val="15"/>
                <w:color w:val="auto"/>
              </w:rPr>
              <w:t>6,155,000</w:t>
            </w:r>
          </w:p>
        </w:tc>
        <w:tc>
          <w:tcPr>
            <w:tcW w:w="4200" w:type="dxa"/>
            <w:vAlign w:val="bottom"/>
            <w:shd w:val="clear" w:color="auto" w:fill="DFE4EA"/>
          </w:tcPr>
          <w:p>
            <w:pPr>
              <w:ind w:left="80"/>
              <w:spacing w:after="0"/>
              <w:rPr>
                <w:sz w:val="20"/>
                <w:szCs w:val="20"/>
                <w:color w:val="auto"/>
              </w:rPr>
            </w:pPr>
            <w:r>
              <w:rPr>
                <w:rFonts w:ascii="Arial" w:cs="Arial" w:eastAsia="Arial" w:hAnsi="Arial"/>
                <w:sz w:val="15"/>
                <w:szCs w:val="15"/>
                <w:color w:val="auto"/>
              </w:rPr>
              <w:t>Within a competitive range of the 50th percentile</w:t>
            </w:r>
          </w:p>
        </w:tc>
        <w:tc>
          <w:tcPr>
            <w:tcW w:w="0" w:type="dxa"/>
            <w:vAlign w:val="bottom"/>
          </w:tcPr>
          <w:p>
            <w:pPr>
              <w:spacing w:after="0"/>
              <w:rPr>
                <w:sz w:val="1"/>
                <w:szCs w:val="1"/>
                <w:color w:val="auto"/>
              </w:rPr>
            </w:pPr>
          </w:p>
        </w:tc>
      </w:tr>
      <w:tr>
        <w:trPr>
          <w:trHeight w:val="244"/>
        </w:trPr>
        <w:tc>
          <w:tcPr>
            <w:tcW w:w="1760" w:type="dxa"/>
            <w:vAlign w:val="bottom"/>
          </w:tcPr>
          <w:p>
            <w:pPr>
              <w:ind w:left="40"/>
              <w:spacing w:after="0"/>
              <w:rPr>
                <w:sz w:val="20"/>
                <w:szCs w:val="20"/>
                <w:color w:val="auto"/>
              </w:rPr>
            </w:pPr>
            <w:r>
              <w:rPr>
                <w:rFonts w:ascii="Arial" w:cs="Arial" w:eastAsia="Arial" w:hAnsi="Arial"/>
                <w:sz w:val="15"/>
                <w:szCs w:val="15"/>
                <w:color w:val="auto"/>
              </w:rPr>
              <w:t>Berry</w:t>
            </w:r>
          </w:p>
        </w:tc>
        <w:tc>
          <w:tcPr>
            <w:tcW w:w="2080" w:type="dxa"/>
            <w:vAlign w:val="bottom"/>
          </w:tcPr>
          <w:p>
            <w:pPr>
              <w:jc w:val="center"/>
              <w:spacing w:after="0"/>
              <w:rPr>
                <w:sz w:val="20"/>
                <w:szCs w:val="20"/>
                <w:color w:val="auto"/>
              </w:rPr>
            </w:pPr>
            <w:r>
              <w:rPr>
                <w:rFonts w:ascii="Arial" w:cs="Arial" w:eastAsia="Arial" w:hAnsi="Arial"/>
                <w:sz w:val="15"/>
                <w:szCs w:val="15"/>
                <w:color w:val="auto"/>
              </w:rPr>
              <w:t>2,823,507</w:t>
            </w:r>
          </w:p>
        </w:tc>
        <w:tc>
          <w:tcPr>
            <w:tcW w:w="1300" w:type="dxa"/>
            <w:vAlign w:val="bottom"/>
          </w:tcPr>
          <w:p>
            <w:pPr>
              <w:ind w:left="320"/>
              <w:spacing w:after="0" w:line="243" w:lineRule="exact"/>
              <w:rPr>
                <w:sz w:val="20"/>
                <w:szCs w:val="20"/>
                <w:color w:val="auto"/>
              </w:rPr>
            </w:pPr>
            <w:r>
              <w:rPr>
                <w:rFonts w:ascii="Arial" w:cs="Arial" w:eastAsia="Arial" w:hAnsi="Arial"/>
                <w:sz w:val="15"/>
                <w:szCs w:val="15"/>
                <w:color w:val="auto"/>
              </w:rPr>
              <w:t>2,767,000</w:t>
            </w:r>
            <w:r>
              <w:rPr>
                <w:rFonts w:ascii="Arial" w:cs="Arial" w:eastAsia="Arial" w:hAnsi="Arial"/>
                <w:sz w:val="24"/>
                <w:szCs w:val="24"/>
                <w:color w:val="auto"/>
                <w:vertAlign w:val="superscript"/>
              </w:rPr>
              <w:t>(4)</w:t>
            </w:r>
          </w:p>
        </w:tc>
        <w:tc>
          <w:tcPr>
            <w:tcW w:w="4200" w:type="dxa"/>
            <w:vAlign w:val="bottom"/>
          </w:tcPr>
          <w:p>
            <w:pPr>
              <w:ind w:left="80"/>
              <w:spacing w:after="0"/>
              <w:rPr>
                <w:sz w:val="20"/>
                <w:szCs w:val="20"/>
                <w:color w:val="auto"/>
              </w:rPr>
            </w:pPr>
            <w:r>
              <w:rPr>
                <w:rFonts w:ascii="Arial" w:cs="Arial" w:eastAsia="Arial" w:hAnsi="Arial"/>
                <w:sz w:val="15"/>
                <w:szCs w:val="15"/>
                <w:color w:val="auto"/>
              </w:rPr>
              <w:t>Within a competitive range of the 50th percentile</w:t>
            </w:r>
          </w:p>
        </w:tc>
        <w:tc>
          <w:tcPr>
            <w:tcW w:w="0" w:type="dxa"/>
            <w:vAlign w:val="bottom"/>
          </w:tcPr>
          <w:p>
            <w:pPr>
              <w:spacing w:after="0"/>
              <w:rPr>
                <w:sz w:val="1"/>
                <w:szCs w:val="1"/>
                <w:color w:val="auto"/>
              </w:rPr>
            </w:pPr>
          </w:p>
        </w:tc>
      </w:tr>
      <w:tr>
        <w:trPr>
          <w:trHeight w:val="220"/>
        </w:trPr>
        <w:tc>
          <w:tcPr>
            <w:tcW w:w="1760" w:type="dxa"/>
            <w:vAlign w:val="bottom"/>
            <w:shd w:val="clear" w:color="auto" w:fill="DFE4EA"/>
          </w:tcPr>
          <w:p>
            <w:pPr>
              <w:ind w:left="40"/>
              <w:spacing w:after="0"/>
              <w:rPr>
                <w:sz w:val="20"/>
                <w:szCs w:val="20"/>
                <w:color w:val="auto"/>
              </w:rPr>
            </w:pPr>
            <w:r>
              <w:rPr>
                <w:rFonts w:ascii="Arial" w:cs="Arial" w:eastAsia="Arial" w:hAnsi="Arial"/>
                <w:sz w:val="15"/>
                <w:szCs w:val="15"/>
                <w:color w:val="auto"/>
              </w:rPr>
              <w:t>Holloway</w:t>
            </w:r>
          </w:p>
        </w:tc>
        <w:tc>
          <w:tcPr>
            <w:tcW w:w="208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1,847,612</w:t>
            </w:r>
          </w:p>
        </w:tc>
        <w:tc>
          <w:tcPr>
            <w:tcW w:w="1300" w:type="dxa"/>
            <w:vAlign w:val="bottom"/>
            <w:shd w:val="clear" w:color="auto" w:fill="DFE4EA"/>
          </w:tcPr>
          <w:p>
            <w:pPr>
              <w:ind w:left="340"/>
              <w:spacing w:after="0"/>
              <w:rPr>
                <w:sz w:val="20"/>
                <w:szCs w:val="20"/>
                <w:color w:val="auto"/>
              </w:rPr>
            </w:pPr>
            <w:r>
              <w:rPr>
                <w:rFonts w:ascii="Arial" w:cs="Arial" w:eastAsia="Arial" w:hAnsi="Arial"/>
                <w:sz w:val="15"/>
                <w:szCs w:val="15"/>
                <w:color w:val="auto"/>
              </w:rPr>
              <w:t>1,900,000</w:t>
            </w:r>
          </w:p>
        </w:tc>
        <w:tc>
          <w:tcPr>
            <w:tcW w:w="4200" w:type="dxa"/>
            <w:vAlign w:val="bottom"/>
            <w:shd w:val="clear" w:color="auto" w:fill="DFE4EA"/>
          </w:tcPr>
          <w:p>
            <w:pPr>
              <w:ind w:left="80"/>
              <w:spacing w:after="0"/>
              <w:rPr>
                <w:sz w:val="20"/>
                <w:szCs w:val="20"/>
                <w:color w:val="auto"/>
              </w:rPr>
            </w:pPr>
            <w:r>
              <w:rPr>
                <w:rFonts w:ascii="Arial" w:cs="Arial" w:eastAsia="Arial" w:hAnsi="Arial"/>
                <w:sz w:val="15"/>
                <w:szCs w:val="15"/>
                <w:color w:val="auto"/>
              </w:rPr>
              <w:t>Within a competitive range of the 50th percentile</w:t>
            </w:r>
          </w:p>
        </w:tc>
        <w:tc>
          <w:tcPr>
            <w:tcW w:w="0" w:type="dxa"/>
            <w:vAlign w:val="bottom"/>
          </w:tcPr>
          <w:p>
            <w:pPr>
              <w:spacing w:after="0"/>
              <w:rPr>
                <w:sz w:val="1"/>
                <w:szCs w:val="1"/>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5"/>
                <w:szCs w:val="15"/>
                <w:color w:val="auto"/>
              </w:rPr>
              <w:t>Davis</w:t>
            </w:r>
          </w:p>
        </w:tc>
        <w:tc>
          <w:tcPr>
            <w:tcW w:w="2080" w:type="dxa"/>
            <w:vAlign w:val="bottom"/>
          </w:tcPr>
          <w:p>
            <w:pPr>
              <w:jc w:val="center"/>
              <w:spacing w:after="0"/>
              <w:rPr>
                <w:sz w:val="20"/>
                <w:szCs w:val="20"/>
                <w:color w:val="auto"/>
              </w:rPr>
            </w:pPr>
            <w:r>
              <w:rPr>
                <w:rFonts w:ascii="Arial" w:cs="Arial" w:eastAsia="Arial" w:hAnsi="Arial"/>
                <w:sz w:val="15"/>
                <w:szCs w:val="15"/>
                <w:color w:val="auto"/>
              </w:rPr>
              <w:t>1,896,643</w:t>
            </w:r>
          </w:p>
        </w:tc>
        <w:tc>
          <w:tcPr>
            <w:tcW w:w="1300" w:type="dxa"/>
            <w:vAlign w:val="bottom"/>
          </w:tcPr>
          <w:p>
            <w:pPr>
              <w:ind w:left="340"/>
              <w:spacing w:after="0"/>
              <w:rPr>
                <w:sz w:val="20"/>
                <w:szCs w:val="20"/>
                <w:color w:val="auto"/>
              </w:rPr>
            </w:pPr>
            <w:r>
              <w:rPr>
                <w:rFonts w:ascii="Arial" w:cs="Arial" w:eastAsia="Arial" w:hAnsi="Arial"/>
                <w:sz w:val="15"/>
                <w:szCs w:val="15"/>
                <w:color w:val="auto"/>
              </w:rPr>
              <w:t>1,940,000</w:t>
            </w:r>
          </w:p>
        </w:tc>
        <w:tc>
          <w:tcPr>
            <w:tcW w:w="4200" w:type="dxa"/>
            <w:vAlign w:val="bottom"/>
          </w:tcPr>
          <w:p>
            <w:pPr>
              <w:ind w:left="80"/>
              <w:spacing w:after="0"/>
              <w:rPr>
                <w:sz w:val="20"/>
                <w:szCs w:val="20"/>
                <w:color w:val="auto"/>
              </w:rPr>
            </w:pPr>
            <w:r>
              <w:rPr>
                <w:rFonts w:ascii="Arial" w:cs="Arial" w:eastAsia="Arial" w:hAnsi="Arial"/>
                <w:sz w:val="15"/>
                <w:szCs w:val="15"/>
                <w:color w:val="auto"/>
              </w:rPr>
              <w:t>Within a competitive range of the 50th percentile</w:t>
            </w:r>
          </w:p>
        </w:tc>
        <w:tc>
          <w:tcPr>
            <w:tcW w:w="0" w:type="dxa"/>
            <w:vAlign w:val="bottom"/>
          </w:tcPr>
          <w:p>
            <w:pPr>
              <w:spacing w:after="0"/>
              <w:rPr>
                <w:sz w:val="1"/>
                <w:szCs w:val="1"/>
                <w:color w:val="auto"/>
              </w:rPr>
            </w:pPr>
          </w:p>
        </w:tc>
      </w:tr>
      <w:tr>
        <w:trPr>
          <w:trHeight w:val="224"/>
        </w:trPr>
        <w:tc>
          <w:tcPr>
            <w:tcW w:w="1760" w:type="dxa"/>
            <w:vAlign w:val="bottom"/>
            <w:shd w:val="clear" w:color="auto" w:fill="DFE4EA"/>
          </w:tcPr>
          <w:p>
            <w:pPr>
              <w:ind w:left="40"/>
              <w:spacing w:after="0"/>
              <w:rPr>
                <w:sz w:val="20"/>
                <w:szCs w:val="20"/>
                <w:color w:val="auto"/>
              </w:rPr>
            </w:pPr>
            <w:r>
              <w:rPr>
                <w:rFonts w:ascii="Arial" w:cs="Arial" w:eastAsia="Arial" w:hAnsi="Arial"/>
                <w:sz w:val="15"/>
                <w:szCs w:val="15"/>
                <w:color w:val="auto"/>
              </w:rPr>
              <w:t>Stanton</w:t>
            </w:r>
          </w:p>
        </w:tc>
        <w:tc>
          <w:tcPr>
            <w:tcW w:w="208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1,600,893</w:t>
            </w:r>
          </w:p>
        </w:tc>
        <w:tc>
          <w:tcPr>
            <w:tcW w:w="1300" w:type="dxa"/>
            <w:vAlign w:val="bottom"/>
            <w:shd w:val="clear" w:color="auto" w:fill="DFE4EA"/>
          </w:tcPr>
          <w:p>
            <w:pPr>
              <w:ind w:left="340"/>
              <w:spacing w:after="0"/>
              <w:rPr>
                <w:sz w:val="20"/>
                <w:szCs w:val="20"/>
                <w:color w:val="auto"/>
              </w:rPr>
            </w:pPr>
            <w:r>
              <w:rPr>
                <w:rFonts w:ascii="Arial" w:cs="Arial" w:eastAsia="Arial" w:hAnsi="Arial"/>
                <w:sz w:val="15"/>
                <w:szCs w:val="15"/>
                <w:color w:val="auto"/>
              </w:rPr>
              <w:t>1,645,000</w:t>
            </w:r>
          </w:p>
        </w:tc>
        <w:tc>
          <w:tcPr>
            <w:tcW w:w="4200" w:type="dxa"/>
            <w:vAlign w:val="bottom"/>
            <w:shd w:val="clear" w:color="auto" w:fill="DFE4EA"/>
          </w:tcPr>
          <w:p>
            <w:pPr>
              <w:ind w:left="80"/>
              <w:spacing w:after="0"/>
              <w:rPr>
                <w:sz w:val="20"/>
                <w:szCs w:val="20"/>
                <w:color w:val="auto"/>
              </w:rPr>
            </w:pPr>
            <w:r>
              <w:rPr>
                <w:rFonts w:ascii="Arial" w:cs="Arial" w:eastAsia="Arial" w:hAnsi="Arial"/>
                <w:sz w:val="15"/>
                <w:szCs w:val="15"/>
                <w:color w:val="auto"/>
              </w:rPr>
              <w:t>Within a competitive range of the 50th percentile</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560" w:hanging="225"/>
        <w:spacing w:after="0" w:line="200" w:lineRule="auto"/>
        <w:tabs>
          <w:tab w:leader="none" w:pos="56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Equity grant value based on a grant date closing share price of $25.41; Mr. Berry’s August grant value based on a grant date closing share price of $43.85. Performance stock units are included at target award levels/values.</w:t>
      </w:r>
    </w:p>
    <w:p>
      <w:pPr>
        <w:spacing w:after="0" w:line="49" w:lineRule="exact"/>
        <w:rPr>
          <w:rFonts w:ascii="Arial" w:cs="Arial" w:eastAsia="Arial" w:hAnsi="Arial"/>
          <w:sz w:val="22"/>
          <w:szCs w:val="22"/>
          <w:color w:val="auto"/>
          <w:vertAlign w:val="superscript"/>
        </w:rPr>
      </w:pPr>
    </w:p>
    <w:p>
      <w:pPr>
        <w:ind w:left="560" w:hanging="225"/>
        <w:spacing w:after="0"/>
        <w:tabs>
          <w:tab w:leader="none" w:pos="56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Based on data provided by Willis Towers Watson.</w:t>
      </w:r>
    </w:p>
    <w:p>
      <w:pPr>
        <w:spacing w:after="0" w:line="117" w:lineRule="exact"/>
        <w:rPr>
          <w:rFonts w:ascii="Arial" w:cs="Arial" w:eastAsia="Arial" w:hAnsi="Arial"/>
          <w:sz w:val="22"/>
          <w:szCs w:val="22"/>
          <w:color w:val="auto"/>
          <w:vertAlign w:val="superscript"/>
        </w:rPr>
      </w:pPr>
    </w:p>
    <w:p>
      <w:pPr>
        <w:jc w:val="both"/>
        <w:ind w:left="560" w:hanging="225"/>
        <w:spacing w:after="0" w:line="200" w:lineRule="auto"/>
        <w:tabs>
          <w:tab w:leader="none" w:pos="56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Competitive range for Chief Executive Officer, Chief Financial Officer and Chief Operating Officer, and Senior Vice Presidents total direct compensation is intended to be positioned at the market median; however, total direct compensation is intended to fall between the market median and 75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driven by superior performance. Willis Towers Watson provided guidance for compensation for all NEOs during the fourth quarter of 2024, as updated in the first quarter of 2025.</w:t>
      </w:r>
    </w:p>
    <w:p>
      <w:pPr>
        <w:spacing w:after="0" w:line="39" w:lineRule="exact"/>
        <w:rPr>
          <w:rFonts w:ascii="Arial" w:cs="Arial" w:eastAsia="Arial" w:hAnsi="Arial"/>
          <w:sz w:val="22"/>
          <w:szCs w:val="22"/>
          <w:color w:val="auto"/>
          <w:vertAlign w:val="superscript"/>
        </w:rPr>
      </w:pPr>
    </w:p>
    <w:p>
      <w:pPr>
        <w:ind w:left="560" w:hanging="225"/>
        <w:spacing w:after="0"/>
        <w:tabs>
          <w:tab w:leader="none" w:pos="56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Based on data for the second highest paid officer provided by Willis Towers Watson at the time of appointment as COO.</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and Cash Incentive Plans</w:t>
      </w:r>
    </w:p>
    <w:p>
      <w:pPr>
        <w:spacing w:after="0" w:line="122" w:lineRule="exact"/>
        <w:rPr>
          <w:sz w:val="20"/>
          <w:szCs w:val="20"/>
          <w:color w:val="auto"/>
        </w:rPr>
      </w:pPr>
    </w:p>
    <w:p>
      <w:pPr>
        <w:jc w:val="both"/>
        <w:ind w:firstLine="334"/>
        <w:spacing w:after="0" w:line="247" w:lineRule="auto"/>
        <w:rPr>
          <w:sz w:val="20"/>
          <w:szCs w:val="20"/>
          <w:color w:val="auto"/>
        </w:rPr>
      </w:pPr>
      <w:r>
        <w:rPr>
          <w:rFonts w:ascii="Arial" w:cs="Arial" w:eastAsia="Arial" w:hAnsi="Arial"/>
          <w:sz w:val="15"/>
          <w:szCs w:val="15"/>
          <w:color w:val="auto"/>
        </w:rPr>
        <w:t>In May 2015, the stockholders approved certain amendments to the 2009 Equity and Cash Incentive Plan (the “2009 ECIP”) that were recommended by the Board of Directors based on management’s recommendation and in consultation with Willis Towers Watson. The 2015 amendments included new provisions for cash-based incentive payments that were intended to comply with the requirements to be “qualified performance-based compensation” under Section 162(m) (“Section 162(m)”) of the Internal Revenue Code (as amended, the “Code”). In May 2016, the stockholders approved certain further amendments to the 2009 ECIP that were also recommended by the Board of Directors based on management’s recommendation and in consultation with Willis Towers Watson. The 2016 amendments included a separate, lower cap for awards to individual non-employee directors and a higher annual cap for awards to individual employees. In May 2018, the stockholders approved a proposal for authorization of an additional 1.9 million shares for the 2009 ECIP, which were registered in February 2019. The 2009 ECIP expired May 21, 2021.</w:t>
      </w:r>
    </w:p>
    <w:p>
      <w:pPr>
        <w:spacing w:after="0" w:line="297"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At the 2020 Annual Meeting, the stockholders approved the 2020 ECIP and 2.675 million shares of initial funding. In May 2023, the stockholders approved a proposal for authorization of an additional 3.04 million shares for the 2020 ECIP, which were registered in June 2023. All equity and incentive cash compensation delivered for work or performance in 2024 was issued under the 2020 ECIP. In May 2025, the stockholders approved a proposal for authorization of an additional 3.570 million shares for the 2020 ECIP, which were registered in August 2025. All equity and incentive cash compensation delivered for work or performance in 2025 was issued under the 2020 ECIP.</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2025 Deferred Compensation</w:t>
      </w:r>
    </w:p>
    <w:p>
      <w:pPr>
        <w:spacing w:after="0" w:line="122"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The Artivion, Inc. Executive Deferred Compensation Plan allows certain key employees of Artivion, including the NEOs, to defer receipt of up to 75% of each of their salaries, commissions, and/or the cash portion of any bonus awarded pursuant to the short-term executive officer incentive plan. The plan’s administrative committee, subject to ratification and approval of the Committee, establishes the maximum and minimum percentages of bonus awards that plan participants may defer in each plan year. For 2025, the range of electable deferral was from 0% to 75% for each of base salary, commissions, and the annual cash bonus. Because this plan provides for tax-deferred growth of deferred compensation, it is an incentive that the Company uses to attract and retain executive officer-level talent.</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2025 Perquisites</w:t>
      </w:r>
    </w:p>
    <w:p>
      <w:pPr>
        <w:spacing w:after="0" w:line="110"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5"/>
          <w:szCs w:val="15"/>
          <w:color w:val="auto"/>
        </w:rPr>
        <w:t>It is Artivion’s policy not to provide perquisites to its executive officers without prior approval of the Committee. To the extent that perquisites are incidental to a business-related expense, such as personal use of a business club, the NEOs are generally required to reimburse Artivion for any incremental cost of such personal benefit. Other than these incidental personal benefits, none of our NEOs receive any perquisites that are not also provided on a non-discriminatory basis to all full-time employees, except for Mr. Mackin, whose compensation is discussed at Employment, Separation and Release, and Change of Control Agreements below, and except for supplemental disability insurance, airline club and other club memberships, auto allowance, and relocation assistance provided to certain of the NEOs. In keeping with Artivion’s practice with respect to all full-time employees, NEOs are also eligible to receive certain benefits upon achieving employment milestones, including receiving $5,000 upon reaching 15 years of service with Artivion and $10,000 upon reaching 20 and 25 years of service with Artivion.</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EMPLOYMENT, SEPARATION AND RELEASE, AND CHANGE OF 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 with J. Patrick Mackin</w:t>
      </w:r>
    </w:p>
    <w:p>
      <w:pPr>
        <w:spacing w:after="0" w:line="122"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In July 2014, the Board of Directors appointed Mr. Mackin as President and Chief Executive Officer effective September 3, 2014, and Artivion and Mr. Mackin entered into an employment agreement (the “Mackin Agreement”). The Mackin Agreement addresses Mr. Mackin’s role and responsibilities as our President and Chief Executive Officer, his rights to compensation and benefits during active employment, and his termination benefits. The Board of Directors determined that it was appropriate to provide Mr. Mackin with an employment agreement due to the Company’s desire to attract and retain high-performing individuals for this role.</w:t>
      </w:r>
    </w:p>
    <w:p>
      <w:pPr>
        <w:spacing w:after="0" w:line="112"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material terms of the Mackin Agreement and his potential termination payments are further described and quantified at Potential Payments Upon Termination or Change of Control – J. Patrick Mackin beginning on page 50.</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 with Other Named Executive Officers</w:t>
      </w:r>
    </w:p>
    <w:p>
      <w:pPr>
        <w:spacing w:after="0" w:line="122"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Artivion is not party to employment agreements with Messrs. Berry, Davis, or Stanton or with Ms. Holloway that provide any guarantee of employment. They are at-will employees.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of Control Agreements with Other Named Executive Officers</w:t>
      </w:r>
    </w:p>
    <w:p>
      <w:pPr>
        <w:spacing w:after="0" w:line="122" w:lineRule="exact"/>
        <w:rPr>
          <w:sz w:val="20"/>
          <w:szCs w:val="20"/>
          <w:color w:val="auto"/>
        </w:rPr>
      </w:pPr>
    </w:p>
    <w:p>
      <w:pPr>
        <w:jc w:val="both"/>
        <w:ind w:firstLine="334"/>
        <w:spacing w:after="0" w:line="246" w:lineRule="auto"/>
        <w:rPr>
          <w:sz w:val="20"/>
          <w:szCs w:val="20"/>
          <w:color w:val="auto"/>
        </w:rPr>
      </w:pPr>
      <w:r>
        <w:rPr>
          <w:rFonts w:ascii="Arial" w:cs="Arial" w:eastAsia="Arial" w:hAnsi="Arial"/>
          <w:sz w:val="15"/>
          <w:szCs w:val="15"/>
          <w:color w:val="auto"/>
        </w:rPr>
        <w:t>On November 21, 2016, Artivion entered into change of control agreements with Mr. Davis and Ms. Holloway. In August 2022, Artivion entered into new change of control agreements with Ms. Holloway and Mr. Davis; however, these new agreements contained only minor, non-substantive revisions to reflect Artivion’s rebranding and reincorporation into Delaware. In December 2023, Artivion entered into a change of control agreement with Mr. Berry. Mr. Mackin’s change of control arrangements are set forth in the Mackin Agreement. The change of control agreements, which automatically renew absent Company action, generally provide that the Company will pay a severance payment if the NEO is terminated by the Company without cause or the NEO terminates his or her own employment for good reason during a period extending from six months before to two years after a change of control of Artivion. This is a “double-trigger” provision that requires not only a change of control of Artivion but also an employment action before payments are required pursuant to the agreements. The Committee approved termination payments under the agreements for certain NEOs based on their officer status and ability to influence decisions regarding whether or not a change of control transaction should be pursued, with Mr. Berry, Ms. Holloway, and Mr. Davis each entitled to receive a payment of 1.5x base salary and cash bonus plus healthcare coverage.</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ADDITIONAL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36333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Clawback Policy</w:t>
      </w:r>
    </w:p>
    <w:p>
      <w:pPr>
        <w:spacing w:after="0" w:line="110"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Artivion has a standalone Clawback Policy that requires the Company, acting through the Committee, to recover excess incentive compensation—in cash bonus or equity form—that was paid to any current or former officer during the three fiscal years prior to the Company issuing a material accounting restatement of its previously issued financial statements, or issuing a restatement that corrects errors that are not material to previously issued financial statements, but that would result in a material misstatement if corrected or left uncorrected in a current financial reporting period, as a result of noncompliance with any financial reporting requirement under federal securities law, unless the Committee determines that such recovery</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40" w:name="page41"/>
    <w:bookmarkEnd w:id="40"/>
    <w:p>
      <w:pPr>
        <w:jc w:val="both"/>
        <w:ind w:right="20"/>
        <w:spacing w:after="0" w:line="263" w:lineRule="auto"/>
        <w:rPr>
          <w:sz w:val="20"/>
          <w:szCs w:val="20"/>
          <w:color w:val="auto"/>
        </w:rPr>
      </w:pPr>
      <w:r>
        <w:rPr>
          <w:rFonts w:ascii="Arial" w:cs="Arial" w:eastAsia="Arial" w:hAnsi="Arial"/>
          <w:sz w:val="15"/>
          <w:szCs w:val="15"/>
          <w:color w:val="auto"/>
        </w:rPr>
        <w:t>would be impracticable, as that term is defined in the Clawback Policy. Excess incentive compensation is defined in the Clawback Policy as incentive compensation that would not have been earned under the restated financial statements. The Clawback Policy does not require fault or negligence on the part of the officer for the clawback to occur.</w:t>
      </w:r>
    </w:p>
    <w:p>
      <w:pPr>
        <w:spacing w:after="0" w:line="94" w:lineRule="exact"/>
        <w:rPr>
          <w:sz w:val="20"/>
          <w:szCs w:val="20"/>
          <w:color w:val="auto"/>
        </w:rPr>
      </w:pPr>
    </w:p>
    <w:p>
      <w:pPr>
        <w:jc w:val="both"/>
        <w:ind w:right="20" w:firstLine="334"/>
        <w:spacing w:after="0" w:line="256" w:lineRule="auto"/>
        <w:rPr>
          <w:sz w:val="20"/>
          <w:szCs w:val="20"/>
          <w:color w:val="auto"/>
        </w:rPr>
      </w:pPr>
      <w:r>
        <w:rPr>
          <w:rFonts w:ascii="Arial" w:cs="Arial" w:eastAsia="Arial" w:hAnsi="Arial"/>
          <w:sz w:val="15"/>
          <w:szCs w:val="15"/>
          <w:color w:val="auto"/>
        </w:rPr>
        <w:t>The Committee shall determine in its sole discretion, after consultation with its advisors and with the Audit Committee, whether a restatement of the Company’s financial statements is “material,” “corrects errors that are not material to previously issued financial statements, but that would result in a material misstatement if corrected or left uncorrected in a current financial reporting period,” or was “a result of noncompliance with any financial reporting requirement under the federal securities laws.”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Ownership Guidelines</w:t>
      </w:r>
    </w:p>
    <w:p>
      <w:pPr>
        <w:spacing w:after="0" w:line="110" w:lineRule="exact"/>
        <w:rPr>
          <w:sz w:val="20"/>
          <w:szCs w:val="20"/>
          <w:color w:val="auto"/>
        </w:rPr>
      </w:pPr>
    </w:p>
    <w:p>
      <w:pPr>
        <w:jc w:val="both"/>
        <w:ind w:right="20" w:firstLine="334"/>
        <w:spacing w:after="0" w:line="263" w:lineRule="auto"/>
        <w:rPr>
          <w:sz w:val="20"/>
          <w:szCs w:val="20"/>
          <w:color w:val="auto"/>
        </w:rPr>
      </w:pPr>
      <w:r>
        <w:rPr>
          <w:rFonts w:ascii="Arial" w:cs="Arial" w:eastAsia="Arial" w:hAnsi="Arial"/>
          <w:sz w:val="15"/>
          <w:szCs w:val="15"/>
          <w:color w:val="auto"/>
        </w:rPr>
        <w:t>Artivion maintains stock ownership guidelines for executive officers that have been recommended and approved by the Committee, the Corporate Governance Committee, and the Board of Directors. The current stock ownership guidelines were adopted in November 2015 and require the following stock ownership requirements:</w:t>
      </w:r>
    </w:p>
    <w:p>
      <w:pPr>
        <w:spacing w:after="0" w:line="94" w:lineRule="exact"/>
        <w:rPr>
          <w:sz w:val="20"/>
          <w:szCs w:val="20"/>
          <w:color w:val="auto"/>
        </w:rPr>
      </w:pPr>
    </w:p>
    <w:p>
      <w:pPr>
        <w:ind w:left="660" w:right="20" w:hanging="325"/>
        <w:spacing w:after="0" w:line="285"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Section 16 Officers</w:t>
      </w:r>
      <w:r>
        <w:rPr>
          <w:rFonts w:ascii="Arial" w:cs="Arial" w:eastAsia="Arial" w:hAnsi="Arial"/>
          <w:sz w:val="15"/>
          <w:szCs w:val="15"/>
          <w:color w:val="auto"/>
        </w:rPr>
        <w:t>: Each Section 16 Officer of the Company shall continuously hold a value of the Company’s common stock equal to the value of a multiple of that officer’s then-current base salary at Artivion. The multiples applicable to such officers are as follows:</w:t>
      </w:r>
    </w:p>
    <w:p>
      <w:pPr>
        <w:spacing w:after="0" w:line="77" w:lineRule="exact"/>
        <w:rPr>
          <w:rFonts w:ascii="Arial" w:cs="Arial" w:eastAsia="Arial" w:hAnsi="Arial"/>
          <w:sz w:val="15"/>
          <w:szCs w:val="15"/>
          <w:color w:val="auto"/>
        </w:rPr>
      </w:pPr>
    </w:p>
    <w:p>
      <w:pPr>
        <w:ind w:left="1000" w:hanging="331"/>
        <w:spacing w:after="0"/>
        <w:tabs>
          <w:tab w:leader="none" w:pos="1000" w:val="left"/>
        </w:tabs>
        <w:numPr>
          <w:ilvl w:val="1"/>
          <w:numId w:val="38"/>
        </w:numPr>
        <w:rPr>
          <w:rFonts w:ascii="Arial" w:cs="Arial" w:eastAsia="Arial" w:hAnsi="Arial"/>
          <w:sz w:val="15"/>
          <w:szCs w:val="15"/>
          <w:color w:val="auto"/>
        </w:rPr>
      </w:pPr>
      <w:r>
        <w:rPr>
          <w:rFonts w:ascii="Arial" w:cs="Arial" w:eastAsia="Arial" w:hAnsi="Arial"/>
          <w:sz w:val="15"/>
          <w:szCs w:val="15"/>
          <w:color w:val="auto"/>
        </w:rPr>
        <w:t>Chief Executive Officer and President: 4x base salary;</w:t>
      </w:r>
    </w:p>
    <w:p>
      <w:pPr>
        <w:spacing w:after="0" w:line="140" w:lineRule="exact"/>
        <w:rPr>
          <w:rFonts w:ascii="Arial" w:cs="Arial" w:eastAsia="Arial" w:hAnsi="Arial"/>
          <w:sz w:val="15"/>
          <w:szCs w:val="15"/>
          <w:color w:val="auto"/>
        </w:rPr>
      </w:pPr>
    </w:p>
    <w:p>
      <w:pPr>
        <w:ind w:left="1000" w:hanging="331"/>
        <w:spacing w:after="0"/>
        <w:tabs>
          <w:tab w:leader="none" w:pos="1000" w:val="left"/>
        </w:tabs>
        <w:numPr>
          <w:ilvl w:val="1"/>
          <w:numId w:val="38"/>
        </w:numPr>
        <w:rPr>
          <w:rFonts w:ascii="Arial" w:cs="Arial" w:eastAsia="Arial" w:hAnsi="Arial"/>
          <w:sz w:val="15"/>
          <w:szCs w:val="15"/>
          <w:color w:val="auto"/>
        </w:rPr>
      </w:pPr>
      <w:r>
        <w:rPr>
          <w:rFonts w:ascii="Arial" w:cs="Arial" w:eastAsia="Arial" w:hAnsi="Arial"/>
          <w:sz w:val="15"/>
          <w:szCs w:val="15"/>
          <w:color w:val="auto"/>
        </w:rPr>
        <w:t>Executive Vice Presidents and Senior Vice Presidents: 2x base salary; and</w:t>
      </w:r>
    </w:p>
    <w:p>
      <w:pPr>
        <w:spacing w:after="0" w:line="140" w:lineRule="exact"/>
        <w:rPr>
          <w:rFonts w:ascii="Arial" w:cs="Arial" w:eastAsia="Arial" w:hAnsi="Arial"/>
          <w:sz w:val="15"/>
          <w:szCs w:val="15"/>
          <w:color w:val="auto"/>
        </w:rPr>
      </w:pPr>
    </w:p>
    <w:p>
      <w:pPr>
        <w:ind w:left="1000" w:hanging="331"/>
        <w:spacing w:after="0"/>
        <w:tabs>
          <w:tab w:leader="none" w:pos="1000" w:val="left"/>
        </w:tabs>
        <w:numPr>
          <w:ilvl w:val="1"/>
          <w:numId w:val="38"/>
        </w:numPr>
        <w:rPr>
          <w:rFonts w:ascii="Arial" w:cs="Arial" w:eastAsia="Arial" w:hAnsi="Arial"/>
          <w:sz w:val="15"/>
          <w:szCs w:val="15"/>
          <w:color w:val="auto"/>
        </w:rPr>
      </w:pPr>
      <w:r>
        <w:rPr>
          <w:rFonts w:ascii="Arial" w:cs="Arial" w:eastAsia="Arial" w:hAnsi="Arial"/>
          <w:sz w:val="15"/>
          <w:szCs w:val="15"/>
          <w:color w:val="auto"/>
        </w:rPr>
        <w:t>All other Section 16 Officers: 1x base salary.</w:t>
      </w:r>
    </w:p>
    <w:p>
      <w:pPr>
        <w:spacing w:after="0" w:line="140" w:lineRule="exact"/>
        <w:rPr>
          <w:rFonts w:ascii="Arial" w:cs="Arial" w:eastAsia="Arial" w:hAnsi="Arial"/>
          <w:sz w:val="15"/>
          <w:szCs w:val="15"/>
          <w:color w:val="auto"/>
        </w:rPr>
      </w:pPr>
    </w:p>
    <w:p>
      <w:pPr>
        <w:jc w:val="both"/>
        <w:ind w:left="660" w:right="20" w:hanging="325"/>
        <w:spacing w:after="0" w:line="256"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Retention requirements</w:t>
      </w:r>
      <w:r>
        <w:rPr>
          <w:rFonts w:ascii="Arial" w:cs="Arial" w:eastAsia="Arial" w:hAnsi="Arial"/>
          <w:sz w:val="15"/>
          <w:szCs w:val="15"/>
          <w:color w:val="auto"/>
        </w:rPr>
        <w:t>: Each Section 16 Officer who has not yet acquired ownership of the required value of common stock set forth above must retain at least 50% of the net number of shares acquired upon the exercise of any employee stock option or the vesting of any performance shares, restricted stock, or restricted stock units (the net number of shares acquired shall be the number of shares remaining after shares are tendered, sold, or netted to pay any applicable exercise price and withholding taxes).</w:t>
      </w:r>
    </w:p>
    <w:p>
      <w:pPr>
        <w:spacing w:after="0" w:line="99" w:lineRule="exact"/>
        <w:rPr>
          <w:rFonts w:ascii="Arial" w:cs="Arial" w:eastAsia="Arial" w:hAnsi="Arial"/>
          <w:sz w:val="15"/>
          <w:szCs w:val="15"/>
          <w:color w:val="auto"/>
        </w:rPr>
      </w:pPr>
    </w:p>
    <w:p>
      <w:pPr>
        <w:ind w:left="660" w:right="20" w:hanging="325"/>
        <w:spacing w:after="0" w:line="285"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Waivers</w:t>
      </w:r>
      <w:r>
        <w:rPr>
          <w:rFonts w:ascii="Arial" w:cs="Arial" w:eastAsia="Arial" w:hAnsi="Arial"/>
          <w:sz w:val="15"/>
          <w:szCs w:val="15"/>
          <w:color w:val="auto"/>
        </w:rPr>
        <w:t>: The Chairs of the Committee and the Corporate Governance Committee shall have the authority to grant waivers from these stock ownership requirements in compelling circumstances such as undue hardship.</w:t>
      </w:r>
    </w:p>
    <w:p>
      <w:pPr>
        <w:spacing w:after="0" w:line="77" w:lineRule="exact"/>
        <w:rPr>
          <w:rFonts w:ascii="Arial" w:cs="Arial" w:eastAsia="Arial" w:hAnsi="Arial"/>
          <w:sz w:val="15"/>
          <w:szCs w:val="15"/>
          <w:color w:val="auto"/>
        </w:rPr>
      </w:pPr>
    </w:p>
    <w:p>
      <w:pPr>
        <w:jc w:val="both"/>
        <w:ind w:left="660" w:right="20" w:hanging="325"/>
        <w:spacing w:after="0" w:line="249"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Qualifying shares</w:t>
      </w:r>
      <w:r>
        <w:rPr>
          <w:rFonts w:ascii="Arial" w:cs="Arial" w:eastAsia="Arial" w:hAnsi="Arial"/>
          <w:sz w:val="15"/>
          <w:szCs w:val="15"/>
          <w:color w:val="auto"/>
        </w:rPr>
        <w:t>: For purposes of satisfying these stock ownership requirements, the following shall be included: shares owned directly or indirectly (1) through a stock purchase plan sponsored by the Company; (2) by the person’s spouse; (3) in a revocable trust of which the person or the person’s spouse is the trustee; (4) any other shares related to or underlying vested or unvested restricted stock awards and performance share awards (after performance metric has been certified); or (5) vested RSUs and vested PSUs (at actual, earned levels and only if and to the extent that any applicable performance criteria have been satisfied). It shall not include shares held through any other form of indirect beneficial ownership or shares underlying unexercised options or unvested PSUs whose performance metric requirements were not met.</w:t>
      </w:r>
    </w:p>
    <w:p>
      <w:pPr>
        <w:spacing w:after="0" w:line="104" w:lineRule="exact"/>
        <w:rPr>
          <w:sz w:val="20"/>
          <w:szCs w:val="20"/>
          <w:color w:val="auto"/>
        </w:rPr>
      </w:pPr>
    </w:p>
    <w:p>
      <w:pPr>
        <w:ind w:right="20" w:firstLine="334"/>
        <w:spacing w:after="0" w:line="285" w:lineRule="auto"/>
        <w:rPr>
          <w:sz w:val="20"/>
          <w:szCs w:val="20"/>
          <w:color w:val="auto"/>
        </w:rPr>
      </w:pPr>
      <w:r>
        <w:rPr>
          <w:rFonts w:ascii="Arial" w:cs="Arial" w:eastAsia="Arial" w:hAnsi="Arial"/>
          <w:sz w:val="15"/>
          <w:szCs w:val="15"/>
          <w:color w:val="auto"/>
        </w:rPr>
        <w:t>These guidelines became effective for all currently employed NEOs on November 17, 2015. As shown in the below table, as of March 16, 2026, all of our NEOs are in compliance with the guidelines.</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Executive Officer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637095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70955" cy="762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tcPr>
          <w:p>
            <w:pPr>
              <w:spacing w:after="0"/>
              <w:rPr>
                <w:sz w:val="15"/>
                <w:szCs w:val="15"/>
                <w:color w:val="auto"/>
              </w:rPr>
            </w:pPr>
          </w:p>
        </w:tc>
        <w:tc>
          <w:tcPr>
            <w:tcW w:w="1980" w:type="dxa"/>
            <w:vAlign w:val="bottom"/>
          </w:tcPr>
          <w:p>
            <w:pPr>
              <w:ind w:left="460"/>
              <w:spacing w:after="0"/>
              <w:rPr>
                <w:sz w:val="20"/>
                <w:szCs w:val="20"/>
                <w:color w:val="auto"/>
              </w:rPr>
            </w:pPr>
            <w:r>
              <w:rPr>
                <w:rFonts w:ascii="Arial" w:cs="Arial" w:eastAsia="Arial" w:hAnsi="Arial"/>
                <w:sz w:val="15"/>
                <w:szCs w:val="15"/>
                <w:b w:val="1"/>
                <w:bCs w:val="1"/>
                <w:color w:val="auto"/>
              </w:rPr>
              <w:t>2025 Base Salary</w:t>
            </w:r>
          </w:p>
        </w:tc>
        <w:tc>
          <w:tcPr>
            <w:tcW w:w="10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jc w:val="right"/>
              <w:ind w:right="63"/>
              <w:spacing w:after="0"/>
              <w:rPr>
                <w:sz w:val="20"/>
                <w:szCs w:val="20"/>
                <w:color w:val="auto"/>
              </w:rPr>
            </w:pPr>
            <w:r>
              <w:rPr>
                <w:rFonts w:ascii="Arial" w:cs="Arial" w:eastAsia="Arial" w:hAnsi="Arial"/>
                <w:sz w:val="15"/>
                <w:szCs w:val="15"/>
                <w:b w:val="1"/>
                <w:bCs w:val="1"/>
                <w:color w:val="auto"/>
              </w:rPr>
              <w:t>Value of Owned</w:t>
            </w:r>
          </w:p>
        </w:tc>
      </w:tr>
      <w:tr>
        <w:trPr>
          <w:trHeight w:val="231"/>
        </w:trPr>
        <w:tc>
          <w:tcPr>
            <w:tcW w:w="2600" w:type="dxa"/>
            <w:vAlign w:val="bottom"/>
            <w:tcBorders>
              <w:bottom w:val="single" w:sz="8" w:color="auto"/>
            </w:tcBorders>
          </w:tcPr>
          <w:p>
            <w:pPr>
              <w:ind w:left="860"/>
              <w:spacing w:after="0"/>
              <w:rPr>
                <w:sz w:val="20"/>
                <w:szCs w:val="20"/>
                <w:color w:val="auto"/>
              </w:rPr>
            </w:pPr>
            <w:r>
              <w:rPr>
                <w:rFonts w:ascii="Arial" w:cs="Arial" w:eastAsia="Arial" w:hAnsi="Arial"/>
                <w:sz w:val="15"/>
                <w:szCs w:val="15"/>
                <w:b w:val="1"/>
                <w:bCs w:val="1"/>
                <w:color w:val="auto"/>
              </w:rPr>
              <w:t>Executive Officer</w:t>
            </w:r>
          </w:p>
        </w:tc>
        <w:tc>
          <w:tcPr>
            <w:tcW w:w="1980" w:type="dxa"/>
            <w:vAlign w:val="bottom"/>
            <w:tcBorders>
              <w:bottom w:val="single" w:sz="8" w:color="auto"/>
            </w:tcBorders>
          </w:tcPr>
          <w:p>
            <w:pPr>
              <w:jc w:val="center"/>
              <w:ind w:left="163"/>
              <w:spacing w:after="0" w:line="228" w:lineRule="exact"/>
              <w:rPr>
                <w:sz w:val="20"/>
                <w:szCs w:val="20"/>
                <w:color w:val="auto"/>
              </w:rPr>
            </w:pPr>
            <w:r>
              <w:rPr>
                <w:rFonts w:ascii="Arial" w:cs="Arial" w:eastAsia="Arial" w:hAnsi="Arial"/>
                <w:sz w:val="15"/>
                <w:szCs w:val="15"/>
                <w:b w:val="1"/>
                <w:bCs w:val="1"/>
                <w:color w:val="auto"/>
                <w:w w:val="89"/>
              </w:rPr>
              <w:t>($)</w:t>
            </w:r>
            <w:r>
              <w:rPr>
                <w:rFonts w:ascii="Arial" w:cs="Arial" w:eastAsia="Arial" w:hAnsi="Arial"/>
                <w:sz w:val="24"/>
                <w:szCs w:val="24"/>
                <w:b w:val="1"/>
                <w:bCs w:val="1"/>
                <w:color w:val="auto"/>
                <w:w w:val="89"/>
                <w:vertAlign w:val="superscript"/>
              </w:rPr>
              <w:t>(1)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Multiple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Required Value ($)</w:t>
            </w:r>
          </w:p>
        </w:tc>
        <w:tc>
          <w:tcPr>
            <w:tcW w:w="1380" w:type="dxa"/>
            <w:vAlign w:val="bottom"/>
            <w:tcBorders>
              <w:bottom w:val="single" w:sz="8" w:color="auto"/>
            </w:tcBorders>
          </w:tcPr>
          <w:p>
            <w:pPr>
              <w:jc w:val="right"/>
              <w:ind w:right="23"/>
              <w:spacing w:after="0" w:line="228" w:lineRule="exact"/>
              <w:rPr>
                <w:sz w:val="20"/>
                <w:szCs w:val="20"/>
                <w:color w:val="auto"/>
              </w:rPr>
            </w:pPr>
            <w:r>
              <w:rPr>
                <w:rFonts w:ascii="Arial" w:cs="Arial" w:eastAsia="Arial" w:hAnsi="Arial"/>
                <w:sz w:val="15"/>
                <w:szCs w:val="15"/>
                <w:b w:val="1"/>
                <w:bCs w:val="1"/>
                <w:color w:val="auto"/>
              </w:rPr>
              <w:t>Owned Shares</w:t>
            </w:r>
            <w:r>
              <w:rPr>
                <w:rFonts w:ascii="Arial" w:cs="Arial" w:eastAsia="Arial" w:hAnsi="Arial"/>
                <w:sz w:val="24"/>
                <w:szCs w:val="24"/>
                <w:b w:val="1"/>
                <w:bCs w:val="1"/>
                <w:color w:val="auto"/>
                <w:vertAlign w:val="superscript"/>
              </w:rPr>
              <w:t>(2)</w:t>
            </w:r>
          </w:p>
        </w:tc>
        <w:tc>
          <w:tcPr>
            <w:tcW w:w="1400" w:type="dxa"/>
            <w:vAlign w:val="bottom"/>
            <w:tcBorders>
              <w:bottom w:val="single" w:sz="8" w:color="auto"/>
            </w:tcBorders>
          </w:tcPr>
          <w:p>
            <w:pPr>
              <w:jc w:val="right"/>
              <w:ind w:right="183"/>
              <w:spacing w:after="0" w:line="228" w:lineRule="exact"/>
              <w:rPr>
                <w:sz w:val="20"/>
                <w:szCs w:val="20"/>
                <w:color w:val="auto"/>
              </w:rPr>
            </w:pPr>
            <w:r>
              <w:rPr>
                <w:rFonts w:ascii="Arial" w:cs="Arial" w:eastAsia="Arial" w:hAnsi="Arial"/>
                <w:sz w:val="15"/>
                <w:szCs w:val="15"/>
                <w:b w:val="1"/>
                <w:bCs w:val="1"/>
                <w:color w:val="auto"/>
              </w:rPr>
              <w:t>Shares ($)</w:t>
            </w:r>
            <w:r>
              <w:rPr>
                <w:rFonts w:ascii="Arial" w:cs="Arial" w:eastAsia="Arial" w:hAnsi="Arial"/>
                <w:sz w:val="24"/>
                <w:szCs w:val="24"/>
                <w:b w:val="1"/>
                <w:bCs w:val="1"/>
                <w:color w:val="auto"/>
                <w:vertAlign w:val="superscript"/>
              </w:rPr>
              <w:t>(3)</w:t>
            </w:r>
          </w:p>
        </w:tc>
      </w:tr>
      <w:tr>
        <w:trPr>
          <w:trHeight w:val="220"/>
        </w:trPr>
        <w:tc>
          <w:tcPr>
            <w:tcW w:w="2600" w:type="dxa"/>
            <w:vAlign w:val="bottom"/>
            <w:shd w:val="clear" w:color="auto" w:fill="DFE4EA"/>
          </w:tcPr>
          <w:p>
            <w:pPr>
              <w:ind w:left="40"/>
              <w:spacing w:after="0"/>
              <w:rPr>
                <w:sz w:val="20"/>
                <w:szCs w:val="20"/>
                <w:color w:val="auto"/>
              </w:rPr>
            </w:pPr>
            <w:r>
              <w:rPr>
                <w:rFonts w:ascii="Arial" w:cs="Arial" w:eastAsia="Arial" w:hAnsi="Arial"/>
                <w:sz w:val="15"/>
                <w:szCs w:val="15"/>
                <w:color w:val="auto"/>
              </w:rPr>
              <w:t>Mackin</w:t>
            </w:r>
          </w:p>
        </w:tc>
        <w:tc>
          <w:tcPr>
            <w:tcW w:w="1980" w:type="dxa"/>
            <w:vAlign w:val="bottom"/>
            <w:shd w:val="clear" w:color="auto" w:fill="DFE4EA"/>
          </w:tcPr>
          <w:p>
            <w:pPr>
              <w:jc w:val="center"/>
              <w:ind w:left="143"/>
              <w:spacing w:after="0"/>
              <w:rPr>
                <w:sz w:val="20"/>
                <w:szCs w:val="20"/>
                <w:color w:val="auto"/>
              </w:rPr>
            </w:pPr>
            <w:r>
              <w:rPr>
                <w:rFonts w:ascii="Arial" w:cs="Arial" w:eastAsia="Arial" w:hAnsi="Arial"/>
                <w:sz w:val="15"/>
                <w:szCs w:val="15"/>
                <w:color w:val="auto"/>
              </w:rPr>
              <w:t>$835,145</w:t>
            </w:r>
          </w:p>
        </w:tc>
        <w:tc>
          <w:tcPr>
            <w:tcW w:w="10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4x</w:t>
            </w:r>
          </w:p>
        </w:tc>
        <w:tc>
          <w:tcPr>
            <w:tcW w:w="1640" w:type="dxa"/>
            <w:vAlign w:val="bottom"/>
            <w:shd w:val="clear" w:color="auto" w:fill="DFE4EA"/>
          </w:tcPr>
          <w:p>
            <w:pPr>
              <w:jc w:val="right"/>
              <w:ind w:right="163"/>
              <w:spacing w:after="0"/>
              <w:rPr>
                <w:sz w:val="20"/>
                <w:szCs w:val="20"/>
                <w:color w:val="auto"/>
              </w:rPr>
            </w:pPr>
            <w:r>
              <w:rPr>
                <w:rFonts w:ascii="Arial" w:cs="Arial" w:eastAsia="Arial" w:hAnsi="Arial"/>
                <w:sz w:val="15"/>
                <w:szCs w:val="15"/>
                <w:color w:val="auto"/>
              </w:rPr>
              <w:t>$3,340,580</w:t>
            </w:r>
          </w:p>
        </w:tc>
        <w:tc>
          <w:tcPr>
            <w:tcW w:w="1380" w:type="dxa"/>
            <w:vAlign w:val="bottom"/>
            <w:shd w:val="clear" w:color="auto" w:fill="DFE4EA"/>
          </w:tcPr>
          <w:p>
            <w:pPr>
              <w:jc w:val="right"/>
              <w:ind w:right="243"/>
              <w:spacing w:after="0"/>
              <w:rPr>
                <w:sz w:val="20"/>
                <w:szCs w:val="20"/>
                <w:color w:val="auto"/>
              </w:rPr>
            </w:pPr>
            <w:r>
              <w:rPr>
                <w:rFonts w:ascii="Arial" w:cs="Arial" w:eastAsia="Arial" w:hAnsi="Arial"/>
                <w:sz w:val="15"/>
                <w:szCs w:val="15"/>
                <w:color w:val="auto"/>
              </w:rPr>
              <w:t>947,275</w:t>
            </w:r>
          </w:p>
        </w:tc>
        <w:tc>
          <w:tcPr>
            <w:tcW w:w="140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35,428,085</w:t>
            </w:r>
          </w:p>
        </w:tc>
      </w:tr>
      <w:tr>
        <w:trPr>
          <w:trHeight w:val="216"/>
        </w:trPr>
        <w:tc>
          <w:tcPr>
            <w:tcW w:w="2600" w:type="dxa"/>
            <w:vAlign w:val="bottom"/>
          </w:tcPr>
          <w:p>
            <w:pPr>
              <w:ind w:left="40"/>
              <w:spacing w:after="0"/>
              <w:rPr>
                <w:sz w:val="20"/>
                <w:szCs w:val="20"/>
                <w:color w:val="auto"/>
              </w:rPr>
            </w:pPr>
            <w:r>
              <w:rPr>
                <w:rFonts w:ascii="Arial" w:cs="Arial" w:eastAsia="Arial" w:hAnsi="Arial"/>
                <w:sz w:val="15"/>
                <w:szCs w:val="15"/>
                <w:color w:val="auto"/>
              </w:rPr>
              <w:t>Berry</w:t>
            </w:r>
          </w:p>
        </w:tc>
        <w:tc>
          <w:tcPr>
            <w:tcW w:w="1980" w:type="dxa"/>
            <w:vAlign w:val="bottom"/>
          </w:tcPr>
          <w:p>
            <w:pPr>
              <w:jc w:val="center"/>
              <w:ind w:left="143"/>
              <w:spacing w:after="0"/>
              <w:rPr>
                <w:sz w:val="20"/>
                <w:szCs w:val="20"/>
                <w:color w:val="auto"/>
              </w:rPr>
            </w:pPr>
            <w:r>
              <w:rPr>
                <w:rFonts w:ascii="Arial" w:cs="Arial" w:eastAsia="Arial" w:hAnsi="Arial"/>
                <w:sz w:val="15"/>
                <w:szCs w:val="15"/>
                <w:color w:val="auto"/>
              </w:rPr>
              <w:t>$540,000</w:t>
            </w:r>
          </w:p>
        </w:tc>
        <w:tc>
          <w:tcPr>
            <w:tcW w:w="1040" w:type="dxa"/>
            <w:vAlign w:val="bottom"/>
          </w:tcPr>
          <w:p>
            <w:pPr>
              <w:jc w:val="center"/>
              <w:spacing w:after="0"/>
              <w:rPr>
                <w:sz w:val="20"/>
                <w:szCs w:val="20"/>
                <w:color w:val="auto"/>
              </w:rPr>
            </w:pPr>
            <w:r>
              <w:rPr>
                <w:rFonts w:ascii="Arial" w:cs="Arial" w:eastAsia="Arial" w:hAnsi="Arial"/>
                <w:sz w:val="15"/>
                <w:szCs w:val="15"/>
                <w:color w:val="auto"/>
              </w:rPr>
              <w:t>2x</w:t>
            </w:r>
          </w:p>
        </w:tc>
        <w:tc>
          <w:tcPr>
            <w:tcW w:w="1640" w:type="dxa"/>
            <w:vAlign w:val="bottom"/>
          </w:tcPr>
          <w:p>
            <w:pPr>
              <w:jc w:val="right"/>
              <w:ind w:right="163"/>
              <w:spacing w:after="0"/>
              <w:rPr>
                <w:sz w:val="20"/>
                <w:szCs w:val="20"/>
                <w:color w:val="auto"/>
              </w:rPr>
            </w:pPr>
            <w:r>
              <w:rPr>
                <w:rFonts w:ascii="Arial" w:cs="Arial" w:eastAsia="Arial" w:hAnsi="Arial"/>
                <w:sz w:val="15"/>
                <w:szCs w:val="15"/>
                <w:color w:val="auto"/>
              </w:rPr>
              <w:t>$1,080,000</w:t>
            </w:r>
          </w:p>
        </w:tc>
        <w:tc>
          <w:tcPr>
            <w:tcW w:w="1380" w:type="dxa"/>
            <w:vAlign w:val="bottom"/>
          </w:tcPr>
          <w:p>
            <w:pPr>
              <w:jc w:val="right"/>
              <w:ind w:right="243"/>
              <w:spacing w:after="0"/>
              <w:rPr>
                <w:sz w:val="20"/>
                <w:szCs w:val="20"/>
                <w:color w:val="auto"/>
              </w:rPr>
            </w:pPr>
            <w:r>
              <w:rPr>
                <w:rFonts w:ascii="Arial" w:cs="Arial" w:eastAsia="Arial" w:hAnsi="Arial"/>
                <w:sz w:val="15"/>
                <w:szCs w:val="15"/>
                <w:color w:val="auto"/>
              </w:rPr>
              <w:t>210,827</w:t>
            </w:r>
          </w:p>
        </w:tc>
        <w:tc>
          <w:tcPr>
            <w:tcW w:w="1400" w:type="dxa"/>
            <w:vAlign w:val="bottom"/>
          </w:tcPr>
          <w:p>
            <w:pPr>
              <w:jc w:val="right"/>
              <w:ind w:right="123"/>
              <w:spacing w:after="0"/>
              <w:rPr>
                <w:sz w:val="20"/>
                <w:szCs w:val="20"/>
                <w:color w:val="auto"/>
              </w:rPr>
            </w:pPr>
            <w:r>
              <w:rPr>
                <w:rFonts w:ascii="Arial" w:cs="Arial" w:eastAsia="Arial" w:hAnsi="Arial"/>
                <w:sz w:val="15"/>
                <w:szCs w:val="15"/>
                <w:color w:val="auto"/>
              </w:rPr>
              <w:t>7,884,930</w:t>
            </w:r>
          </w:p>
        </w:tc>
      </w:tr>
      <w:tr>
        <w:trPr>
          <w:trHeight w:val="224"/>
        </w:trPr>
        <w:tc>
          <w:tcPr>
            <w:tcW w:w="2600" w:type="dxa"/>
            <w:vAlign w:val="bottom"/>
            <w:shd w:val="clear" w:color="auto" w:fill="DFE4EA"/>
          </w:tcPr>
          <w:p>
            <w:pPr>
              <w:ind w:left="40"/>
              <w:spacing w:after="0"/>
              <w:rPr>
                <w:sz w:val="20"/>
                <w:szCs w:val="20"/>
                <w:color w:val="auto"/>
              </w:rPr>
            </w:pPr>
            <w:r>
              <w:rPr>
                <w:rFonts w:ascii="Arial" w:cs="Arial" w:eastAsia="Arial" w:hAnsi="Arial"/>
                <w:sz w:val="15"/>
                <w:szCs w:val="15"/>
                <w:color w:val="auto"/>
              </w:rPr>
              <w:t>Holloway</w:t>
            </w:r>
          </w:p>
        </w:tc>
        <w:tc>
          <w:tcPr>
            <w:tcW w:w="1980" w:type="dxa"/>
            <w:vAlign w:val="bottom"/>
            <w:shd w:val="clear" w:color="auto" w:fill="DFE4EA"/>
          </w:tcPr>
          <w:p>
            <w:pPr>
              <w:jc w:val="center"/>
              <w:ind w:left="143"/>
              <w:spacing w:after="0"/>
              <w:rPr>
                <w:sz w:val="20"/>
                <w:szCs w:val="20"/>
                <w:color w:val="auto"/>
              </w:rPr>
            </w:pPr>
            <w:r>
              <w:rPr>
                <w:rFonts w:ascii="Arial" w:cs="Arial" w:eastAsia="Arial" w:hAnsi="Arial"/>
                <w:sz w:val="15"/>
                <w:szCs w:val="15"/>
                <w:color w:val="auto"/>
              </w:rPr>
              <w:t>$438,408</w:t>
            </w:r>
          </w:p>
        </w:tc>
        <w:tc>
          <w:tcPr>
            <w:tcW w:w="10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2x</w:t>
            </w:r>
          </w:p>
        </w:tc>
        <w:tc>
          <w:tcPr>
            <w:tcW w:w="1640" w:type="dxa"/>
            <w:vAlign w:val="bottom"/>
            <w:shd w:val="clear" w:color="auto" w:fill="DFE4EA"/>
          </w:tcPr>
          <w:p>
            <w:pPr>
              <w:jc w:val="right"/>
              <w:ind w:right="163"/>
              <w:spacing w:after="0"/>
              <w:rPr>
                <w:sz w:val="20"/>
                <w:szCs w:val="20"/>
                <w:color w:val="auto"/>
              </w:rPr>
            </w:pPr>
            <w:r>
              <w:rPr>
                <w:rFonts w:ascii="Arial" w:cs="Arial" w:eastAsia="Arial" w:hAnsi="Arial"/>
                <w:sz w:val="15"/>
                <w:szCs w:val="15"/>
                <w:color w:val="auto"/>
              </w:rPr>
              <w:t>$876,816</w:t>
            </w:r>
          </w:p>
        </w:tc>
        <w:tc>
          <w:tcPr>
            <w:tcW w:w="1380" w:type="dxa"/>
            <w:vAlign w:val="bottom"/>
            <w:shd w:val="clear" w:color="auto" w:fill="DFE4EA"/>
          </w:tcPr>
          <w:p>
            <w:pPr>
              <w:jc w:val="right"/>
              <w:ind w:right="243"/>
              <w:spacing w:after="0"/>
              <w:rPr>
                <w:sz w:val="20"/>
                <w:szCs w:val="20"/>
                <w:color w:val="auto"/>
              </w:rPr>
            </w:pPr>
            <w:r>
              <w:rPr>
                <w:rFonts w:ascii="Arial" w:cs="Arial" w:eastAsia="Arial" w:hAnsi="Arial"/>
                <w:sz w:val="15"/>
                <w:szCs w:val="15"/>
                <w:color w:val="auto"/>
              </w:rPr>
              <w:t>185,095</w:t>
            </w:r>
          </w:p>
        </w:tc>
        <w:tc>
          <w:tcPr>
            <w:tcW w:w="140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6,922,553</w:t>
            </w:r>
          </w:p>
        </w:tc>
      </w:tr>
      <w:tr>
        <w:trPr>
          <w:trHeight w:val="216"/>
        </w:trPr>
        <w:tc>
          <w:tcPr>
            <w:tcW w:w="2600" w:type="dxa"/>
            <w:vAlign w:val="bottom"/>
          </w:tcPr>
          <w:p>
            <w:pPr>
              <w:ind w:left="40"/>
              <w:spacing w:after="0"/>
              <w:rPr>
                <w:sz w:val="20"/>
                <w:szCs w:val="20"/>
                <w:color w:val="auto"/>
              </w:rPr>
            </w:pPr>
            <w:r>
              <w:rPr>
                <w:rFonts w:ascii="Arial" w:cs="Arial" w:eastAsia="Arial" w:hAnsi="Arial"/>
                <w:sz w:val="15"/>
                <w:szCs w:val="15"/>
                <w:color w:val="auto"/>
              </w:rPr>
              <w:t>Davis</w:t>
            </w:r>
          </w:p>
        </w:tc>
        <w:tc>
          <w:tcPr>
            <w:tcW w:w="1980" w:type="dxa"/>
            <w:vAlign w:val="bottom"/>
          </w:tcPr>
          <w:p>
            <w:pPr>
              <w:jc w:val="center"/>
              <w:ind w:left="143"/>
              <w:spacing w:after="0"/>
              <w:rPr>
                <w:sz w:val="20"/>
                <w:szCs w:val="20"/>
                <w:color w:val="auto"/>
              </w:rPr>
            </w:pPr>
            <w:r>
              <w:rPr>
                <w:rFonts w:ascii="Arial" w:cs="Arial" w:eastAsia="Arial" w:hAnsi="Arial"/>
                <w:sz w:val="15"/>
                <w:szCs w:val="15"/>
                <w:color w:val="auto"/>
              </w:rPr>
              <w:t>$441,095</w:t>
            </w:r>
          </w:p>
        </w:tc>
        <w:tc>
          <w:tcPr>
            <w:tcW w:w="1040" w:type="dxa"/>
            <w:vAlign w:val="bottom"/>
          </w:tcPr>
          <w:p>
            <w:pPr>
              <w:jc w:val="center"/>
              <w:spacing w:after="0"/>
              <w:rPr>
                <w:sz w:val="20"/>
                <w:szCs w:val="20"/>
                <w:color w:val="auto"/>
              </w:rPr>
            </w:pPr>
            <w:r>
              <w:rPr>
                <w:rFonts w:ascii="Arial" w:cs="Arial" w:eastAsia="Arial" w:hAnsi="Arial"/>
                <w:sz w:val="15"/>
                <w:szCs w:val="15"/>
                <w:color w:val="auto"/>
              </w:rPr>
              <w:t>2x</w:t>
            </w:r>
          </w:p>
        </w:tc>
        <w:tc>
          <w:tcPr>
            <w:tcW w:w="1640" w:type="dxa"/>
            <w:vAlign w:val="bottom"/>
          </w:tcPr>
          <w:p>
            <w:pPr>
              <w:jc w:val="right"/>
              <w:ind w:right="163"/>
              <w:spacing w:after="0"/>
              <w:rPr>
                <w:sz w:val="20"/>
                <w:szCs w:val="20"/>
                <w:color w:val="auto"/>
              </w:rPr>
            </w:pPr>
            <w:r>
              <w:rPr>
                <w:rFonts w:ascii="Arial" w:cs="Arial" w:eastAsia="Arial" w:hAnsi="Arial"/>
                <w:sz w:val="15"/>
                <w:szCs w:val="15"/>
                <w:color w:val="auto"/>
              </w:rPr>
              <w:t>$882,190</w:t>
            </w:r>
          </w:p>
        </w:tc>
        <w:tc>
          <w:tcPr>
            <w:tcW w:w="1380" w:type="dxa"/>
            <w:vAlign w:val="bottom"/>
          </w:tcPr>
          <w:p>
            <w:pPr>
              <w:jc w:val="right"/>
              <w:ind w:right="243"/>
              <w:spacing w:after="0"/>
              <w:rPr>
                <w:sz w:val="20"/>
                <w:szCs w:val="20"/>
                <w:color w:val="auto"/>
              </w:rPr>
            </w:pPr>
            <w:r>
              <w:rPr>
                <w:rFonts w:ascii="Arial" w:cs="Arial" w:eastAsia="Arial" w:hAnsi="Arial"/>
                <w:sz w:val="15"/>
                <w:szCs w:val="15"/>
                <w:color w:val="auto"/>
              </w:rPr>
              <w:t>230,794</w:t>
            </w:r>
          </w:p>
        </w:tc>
        <w:tc>
          <w:tcPr>
            <w:tcW w:w="1400" w:type="dxa"/>
            <w:vAlign w:val="bottom"/>
          </w:tcPr>
          <w:p>
            <w:pPr>
              <w:jc w:val="right"/>
              <w:ind w:right="123"/>
              <w:spacing w:after="0"/>
              <w:rPr>
                <w:sz w:val="20"/>
                <w:szCs w:val="20"/>
                <w:color w:val="auto"/>
              </w:rPr>
            </w:pPr>
            <w:r>
              <w:rPr>
                <w:rFonts w:ascii="Arial" w:cs="Arial" w:eastAsia="Arial" w:hAnsi="Arial"/>
                <w:sz w:val="15"/>
                <w:szCs w:val="15"/>
                <w:color w:val="auto"/>
              </w:rPr>
              <w:t>8,631,696</w:t>
            </w:r>
          </w:p>
        </w:tc>
      </w:tr>
      <w:tr>
        <w:trPr>
          <w:trHeight w:val="224"/>
        </w:trPr>
        <w:tc>
          <w:tcPr>
            <w:tcW w:w="2600" w:type="dxa"/>
            <w:vAlign w:val="bottom"/>
            <w:shd w:val="clear" w:color="auto" w:fill="DFE4EA"/>
          </w:tcPr>
          <w:p>
            <w:pPr>
              <w:ind w:left="40"/>
              <w:spacing w:after="0"/>
              <w:rPr>
                <w:sz w:val="20"/>
                <w:szCs w:val="20"/>
                <w:color w:val="auto"/>
              </w:rPr>
            </w:pPr>
            <w:r>
              <w:rPr>
                <w:rFonts w:ascii="Arial" w:cs="Arial" w:eastAsia="Arial" w:hAnsi="Arial"/>
                <w:sz w:val="15"/>
                <w:szCs w:val="15"/>
                <w:color w:val="auto"/>
              </w:rPr>
              <w:t>Stanton</w:t>
            </w:r>
          </w:p>
        </w:tc>
        <w:tc>
          <w:tcPr>
            <w:tcW w:w="1980" w:type="dxa"/>
            <w:vAlign w:val="bottom"/>
            <w:shd w:val="clear" w:color="auto" w:fill="DFE4EA"/>
          </w:tcPr>
          <w:p>
            <w:pPr>
              <w:jc w:val="center"/>
              <w:ind w:left="143"/>
              <w:spacing w:after="0"/>
              <w:rPr>
                <w:sz w:val="20"/>
                <w:szCs w:val="20"/>
                <w:color w:val="auto"/>
              </w:rPr>
            </w:pPr>
            <w:r>
              <w:rPr>
                <w:rFonts w:ascii="Arial" w:cs="Arial" w:eastAsia="Arial" w:hAnsi="Arial"/>
                <w:sz w:val="15"/>
                <w:szCs w:val="15"/>
                <w:color w:val="auto"/>
              </w:rPr>
              <w:t>$443,929</w:t>
            </w:r>
          </w:p>
        </w:tc>
        <w:tc>
          <w:tcPr>
            <w:tcW w:w="10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2x</w:t>
            </w:r>
          </w:p>
        </w:tc>
        <w:tc>
          <w:tcPr>
            <w:tcW w:w="1640" w:type="dxa"/>
            <w:vAlign w:val="bottom"/>
            <w:shd w:val="clear" w:color="auto" w:fill="DFE4EA"/>
          </w:tcPr>
          <w:p>
            <w:pPr>
              <w:jc w:val="right"/>
              <w:ind w:right="163"/>
              <w:spacing w:after="0"/>
              <w:rPr>
                <w:sz w:val="20"/>
                <w:szCs w:val="20"/>
                <w:color w:val="auto"/>
              </w:rPr>
            </w:pPr>
            <w:r>
              <w:rPr>
                <w:rFonts w:ascii="Arial" w:cs="Arial" w:eastAsia="Arial" w:hAnsi="Arial"/>
                <w:sz w:val="15"/>
                <w:szCs w:val="15"/>
                <w:color w:val="auto"/>
              </w:rPr>
              <w:t>$887,858</w:t>
            </w:r>
          </w:p>
        </w:tc>
        <w:tc>
          <w:tcPr>
            <w:tcW w:w="1380" w:type="dxa"/>
            <w:vAlign w:val="bottom"/>
            <w:shd w:val="clear" w:color="auto" w:fill="DFE4EA"/>
          </w:tcPr>
          <w:p>
            <w:pPr>
              <w:jc w:val="right"/>
              <w:ind w:right="243"/>
              <w:spacing w:after="0"/>
              <w:rPr>
                <w:sz w:val="20"/>
                <w:szCs w:val="20"/>
                <w:color w:val="auto"/>
              </w:rPr>
            </w:pPr>
            <w:r>
              <w:rPr>
                <w:rFonts w:ascii="Arial" w:cs="Arial" w:eastAsia="Arial" w:hAnsi="Arial"/>
                <w:sz w:val="15"/>
                <w:szCs w:val="15"/>
                <w:color w:val="auto"/>
              </w:rPr>
              <w:t>60,097</w:t>
            </w:r>
          </w:p>
        </w:tc>
        <w:tc>
          <w:tcPr>
            <w:tcW w:w="140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2,247,628</w:t>
            </w:r>
          </w:p>
        </w:tc>
      </w:tr>
    </w:tbl>
    <w:p>
      <w:pPr>
        <w:spacing w:after="0" w:line="93" w:lineRule="exact"/>
        <w:rPr>
          <w:sz w:val="20"/>
          <w:szCs w:val="20"/>
          <w:color w:val="auto"/>
        </w:rPr>
      </w:pPr>
    </w:p>
    <w:p>
      <w:pPr>
        <w:sectPr>
          <w:pgSz w:w="11900" w:h="16838" w:orient="portrait"/>
          <w:cols w:equalWidth="0" w:num="1">
            <w:col w:w="10040"/>
          </w:cols>
          <w:pgMar w:left="980" w:top="879" w:right="879" w:bottom="1440" w:gutter="0" w:footer="0" w:header="0"/>
        </w:sectPr>
      </w:pPr>
    </w:p>
    <w:p>
      <w:pPr>
        <w:ind w:left="220" w:hanging="219"/>
        <w:spacing w:after="0"/>
        <w:tabs>
          <w:tab w:leader="none" w:pos="22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This amount represents the base salary as reported in the Summary Compensation Table on page 42.</w:t>
      </w:r>
    </w:p>
    <w:p>
      <w:pPr>
        <w:spacing w:after="0" w:line="106"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Amount includes: (1) shares held of record by the spouses of executive officers as of March 16, 2026; and subject to forfeiture held as of March 16, 2026, and shares earned under 2024 and 2025 performance stock 2026. Amount does not include unexercised stock options that had not vested as of March 16, 2026.</w:t>
      </w:r>
    </w:p>
    <w:p>
      <w:pPr>
        <w:spacing w:after="0" w:line="49" w:lineRule="exact"/>
        <w:rPr>
          <w:rFonts w:ascii="Arial" w:cs="Arial" w:eastAsia="Arial" w:hAnsi="Arial"/>
          <w:sz w:val="22"/>
          <w:szCs w:val="22"/>
          <w:color w:val="auto"/>
          <w:vertAlign w:val="superscript"/>
        </w:rPr>
      </w:pPr>
    </w:p>
    <w:p>
      <w:pPr>
        <w:ind w:left="220" w:hanging="219"/>
        <w:spacing w:after="0"/>
        <w:tabs>
          <w:tab w:leader="none" w:pos="22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Based on the closing price of the Company’s common stock on the NYSE on March 16, 2026, of 37.40.</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both"/>
        <w:ind w:left="9" w:right="20" w:hanging="9"/>
        <w:spacing w:after="0" w:line="276" w:lineRule="auto"/>
        <w:tabs>
          <w:tab w:leader="none" w:pos="224" w:val="left"/>
        </w:tabs>
        <w:numPr>
          <w:ilvl w:val="0"/>
          <w:numId w:val="40"/>
        </w:numPr>
        <w:rPr>
          <w:rFonts w:ascii="Arial" w:cs="Arial" w:eastAsia="Arial" w:hAnsi="Arial"/>
          <w:sz w:val="14"/>
          <w:szCs w:val="14"/>
          <w:color w:val="auto"/>
        </w:rPr>
      </w:pPr>
      <w:r>
        <w:rPr>
          <w:rFonts w:ascii="Arial" w:cs="Arial" w:eastAsia="Arial" w:hAnsi="Arial"/>
          <w:sz w:val="14"/>
          <w:szCs w:val="14"/>
          <w:color w:val="auto"/>
        </w:rPr>
        <w:t>shares of unvested restricted common stock unit awards that had not vested as of March 16,</w:t>
      </w:r>
    </w:p>
    <w:p>
      <w:pPr>
        <w:spacing w:after="0" w:line="640" w:lineRule="exact"/>
        <w:rPr>
          <w:sz w:val="20"/>
          <w:szCs w:val="20"/>
          <w:color w:val="auto"/>
        </w:rPr>
      </w:pPr>
    </w:p>
    <w:p>
      <w:pPr>
        <w:sectPr>
          <w:pgSz w:w="11900" w:h="16838" w:orient="portrait"/>
          <w:cols w:equalWidth="0" w:num="2">
            <w:col w:w="6980" w:space="31"/>
            <w:col w:w="3029"/>
          </w:cols>
          <w:pgMar w:left="980" w:top="879"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40"/>
          </w:cols>
          <w:pgMar w:left="980" w:top="879" w:right="87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Insider Trading Policies and Procedures</w:t>
      </w:r>
    </w:p>
    <w:p>
      <w:pPr>
        <w:spacing w:after="0" w:line="110"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Artivion has adopted the Artivion, Inc. Insider Trading Policy and Guidelines with Respect to Certain Transactions in Securities (the “Insider Trading Policy”), which governs the purchase, sale, and other dispositions of Artivion’s securities by all Artivion directors, officers, employees, and certain other covered persons. We believe that the Insider Trading Policy, as well as procedures that Artivion follows with respect to its transactions in Company securities, are reasonably designed to promote compliance with insider trading laws, rules, and regulations, and listing standards applicable to the Company.</w:t>
      </w:r>
    </w:p>
    <w:p>
      <w:pPr>
        <w:spacing w:after="0" w:line="123"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Our Insider Trading Policy also prohibits all covered persons from engaging in derivative securities or hedging transactions with respect to the Company’s securities. Specifically, NEOs are prohibited from engaging in transactions in publicly traded options, such as puts and calls, and other derivative securities with respect to the Company’s securities. This prohibition extends to any hedging or similar transaction designed to decrease the risks associated with holding Company securities, including but not limited to prepaid variable contracts, equity swaps, collars, and exchange funds. Stock options, stock appreciation rights, and other securities issued pursuant to Company benefit plans or other compensatory arrangements with the Company are not subject to this prohibition.</w:t>
      </w:r>
    </w:p>
    <w:p>
      <w:pPr>
        <w:spacing w:after="0" w:line="117"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Furthermore, a short sale, which is the sale of a security that must be borrowed to make delivery, and “selling short against the box,” which is transacting a sale with a delayed delivery, are prohibited with respect to Company securities under the Insider Trading Policy and NEOs may not engage in such transactions.</w:t>
      </w:r>
    </w:p>
    <w:p>
      <w:pPr>
        <w:spacing w:after="0" w:line="106"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Insider Trading Policy is available for review at https://artivion.gcs-web.com/insider-trading-policy, and was filed as Exhibit 19.1 to the Company’s Report on Form 10-K for the year ended December 31, 2025.</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Grant Policies and Practices</w:t>
      </w:r>
    </w:p>
    <w:p>
      <w:pPr>
        <w:spacing w:after="0" w:line="110"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color w:val="auto"/>
        </w:rPr>
        <w:t>The Committee generally adheres to a policy that the Company will not make equity grants during regular quarterly financial blackout periods and until two full trading days after the conclusion of such blackout period. We do not grant equity awards in anticipation of the release of material nonpublic information that is likely to result in changes to the price of our common stock, nor do we time the disclosure of material nonpublic information for the purpose of affecting the value of executive compensation. In the event of a special blackout period outside the regular quarterly financial blackout period, we consider the extent and nature of both the special blackout period and the equity grant(s) at issue. Unless the Committee determines otherwise, equity grant(s) may be made during special blackout periods outside the regular quarterly financial blackout period, depending upon the extent and nature of both the special blackout period and the equity grant(s) at issue.</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TAX IMPACT OF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162(m)</w:t>
      </w:r>
    </w:p>
    <w:p>
      <w:pPr>
        <w:spacing w:after="0" w:line="122"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color w:val="auto"/>
        </w:rPr>
        <w:t>Section 162(m) of the Code places a limit of $1 million per year on the amount of compensation paid to certain of our executive officers that the Company and other members of its controlled group may deduct for federal income tax purposes. Following changes to the law in 2018, Section 162(m) no longer contains an exception for “performance-based” compensation for arrangements that are not considered “grandfathered.” Also, for taxable years beginning after December 31, 2025, the deduction limitation applies on an aggregated basis across the Company and other members of its controlled group, with the limitation allocated among such entities in accordance with applicable law. The Committee makes compensation decisions as appropriate to implement the Company’s Compensation Philosophy, with tax factors (including deductibility to the Company under Section 162(m)) being only one of many factors considered in implementing the Compensation Philosophy.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409A</w:t>
      </w:r>
    </w:p>
    <w:p>
      <w:pPr>
        <w:spacing w:after="0" w:line="122"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Section 409A of the Code imposes significant tax consequences on executive officers and the Company for failing to comply with the statute and regulatory guidance issued thereunder. The Committee’s policy is to structure all executive officer compensation arrangements to be exempt from or comply with, to the extent feasible, the provisions of Section 409A so that executive officers do not have to pay additional tax and the Company does not incur additional withholding obligations. The Committee intends to continue this practice.</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9"/>
          <w:szCs w:val="19"/>
          <w:b w:val="1"/>
          <w:bCs w:val="1"/>
          <w:color w:val="2B4B74"/>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43" w:lineRule="auto"/>
        <w:rPr>
          <w:sz w:val="20"/>
          <w:szCs w:val="20"/>
          <w:color w:val="auto"/>
        </w:rPr>
      </w:pPr>
      <w:r>
        <w:rPr>
          <w:rFonts w:ascii="Arial" w:cs="Arial" w:eastAsia="Arial" w:hAnsi="Arial"/>
          <w:sz w:val="15"/>
          <w:szCs w:val="15"/>
          <w:color w:val="auto"/>
        </w:rPr>
        <w:t>Statements made in this Proxy Statement that look forward in time or that express management’s beliefs, expectations, or hopes are forward-looking statements within the meaning of the Private Securities Litigation Reform Act of 1995. Such forward-looking statements reflect the views of management at the time such statements are made and are subject to a number of risks, uncertainties, estimates, and assumptions that may cause actual results to differ materially from current expectations. We intend such forward-looking statements to be covered by the safe harbor provisions for forward-looking statements contained in Section 27A of the Securities Act of 1933, as amended, and Section 21E of the Exchange Act. All statements other than statements of historical facts contained in this Proxy Statement may be forward-looking statements. In some cases, you can identify forward-looking statements by terms such as “expects,” “plans,” “intends,” “anticipates,” “indicates,” “remains,” “believes,” “estimates,” “forecast,” “guidance,” “outlook,” “may,” “will,” “should,” “seeks,” “goals,” “targets” or the negative of these terms or other similar expressions.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Forward-looking statements contained in this Proxy Statement include, without limitation, statements regarding our outlook and future results of operations, including our profitability goals, our business strategy and plans for future operations, including our cost-savings initiatives, our expectations regarding bringing additional products to market, current plans, considerations, expectations, and determinations regarding future compensation programs, our expected publication of our Corporate Responsibility Report and related sustainability initiatives, goals, and efforts, and our estimated amounts and assumptions relating to potential payments upon termination or change of control. These statements include those regarding future plans and intentions of the Committee and/or Board of Directors related to compensation decisions and expectations that certain performance targets for management are achievable. These future events may not occur as and when expected, if at all, and, together with the Company’s business, are subject to various risks and uncertainties. Along with risks specific to our business, management’s ability to attain certain performance targets is subject to risks affecting the economy generally and other factors that are beyond our control. For additional risks impacting the Company’s business, see the Risk Factors section of the Company’s Annual Report on Form 10-K for the year ended December 31, 2025. Additional risks and uncertainties are discussed from time to time in current, quarterly, and annual reports filed by the Company with the SEC, which are available on the SEC’s website at www.sec.gov. The Company assumes no obligation, and expressly disclaims any duty, to update publicly any such forward-looking statements, whether as a result of new information, future event, or otherwise.</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WEBSITES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36333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34"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Links to websites included in this Proxy Statement are provided solely for convenience. Information contained on websites, including on our website, is not, and will not be deemed to be, a part of this Proxy Statement or incorporated by reference into any of our other filings with the SEC.</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REPORT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Committee reviewed and discussed the Compensation Discussion and Analysis with management. In reliance on this review and discussion, the Committee recommended to the Board of Directors that the Compensation Discussion and Analysis be included in Artivion’s 2026 Proxy Statement on Schedule 14A, for filing with the SEC.</w:t>
      </w:r>
    </w:p>
    <w:p>
      <w:pPr>
        <w:spacing w:after="0" w:line="115"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Compensation Committee</w:t>
      </w:r>
    </w:p>
    <w:p>
      <w:pPr>
        <w:spacing w:after="0" w:line="17"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DANIEL J. BEVEVINO, CHAIR</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JAMES W. BULLOCK</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ANTHONY B. SEMEDO</w:t>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b w:val="1"/>
          <w:bCs w:val="1"/>
          <w:color w:val="2B4B74"/>
        </w:rPr>
        <w:t>EXECUTIVE OFFICER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following table sets forth information with respect to each of the Named Executive Officers — Mr. Mackin, our Chief Executive Officer; Mr. Berry, our Chief Financial Officer; and Ms. Holloway, Mr. Davis, and Mr. Stanton, who were the three most highly compensated of the other executive officers of Artivion employed at the end of fiscal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ind w:right="59"/>
              <w:spacing w:after="0"/>
              <w:rPr>
                <w:sz w:val="20"/>
                <w:szCs w:val="20"/>
                <w:color w:val="auto"/>
              </w:rPr>
            </w:pPr>
            <w:r>
              <w:rPr>
                <w:rFonts w:ascii="Arial" w:cs="Arial" w:eastAsia="Arial" w:hAnsi="Arial"/>
                <w:sz w:val="12"/>
                <w:szCs w:val="12"/>
                <w:b w:val="1"/>
                <w:bCs w:val="1"/>
                <w:color w:val="auto"/>
              </w:rPr>
              <w:t>Change in</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ind w:right="59"/>
              <w:spacing w:after="0"/>
              <w:rPr>
                <w:sz w:val="20"/>
                <w:szCs w:val="20"/>
                <w:color w:val="auto"/>
              </w:rPr>
            </w:pPr>
            <w:r>
              <w:rPr>
                <w:rFonts w:ascii="Arial" w:cs="Arial" w:eastAsia="Arial" w:hAnsi="Arial"/>
                <w:sz w:val="12"/>
                <w:szCs w:val="12"/>
                <w:b w:val="1"/>
                <w:bCs w:val="1"/>
                <w:color w:val="auto"/>
              </w:rPr>
              <w:t>Pension Value</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vMerge w:val="restart"/>
          </w:tcPr>
          <w:p>
            <w:pPr>
              <w:jc w:val="center"/>
              <w:ind w:right="59"/>
              <w:spacing w:after="0"/>
              <w:rPr>
                <w:sz w:val="20"/>
                <w:szCs w:val="20"/>
                <w:color w:val="auto"/>
              </w:rPr>
            </w:pPr>
            <w:r>
              <w:rPr>
                <w:rFonts w:ascii="Arial" w:cs="Arial" w:eastAsia="Arial" w:hAnsi="Arial"/>
                <w:sz w:val="12"/>
                <w:szCs w:val="12"/>
                <w:b w:val="1"/>
                <w:bCs w:val="1"/>
                <w:color w:val="auto"/>
              </w:rPr>
              <w:t>Non-Equity</w:t>
            </w:r>
          </w:p>
        </w:tc>
        <w:tc>
          <w:tcPr>
            <w:tcW w:w="1280" w:type="dxa"/>
            <w:vAlign w:val="bottom"/>
          </w:tcPr>
          <w:p>
            <w:pPr>
              <w:jc w:val="center"/>
              <w:ind w:right="39"/>
              <w:spacing w:after="0"/>
              <w:rPr>
                <w:sz w:val="20"/>
                <w:szCs w:val="20"/>
                <w:color w:val="auto"/>
              </w:rPr>
            </w:pPr>
            <w:r>
              <w:rPr>
                <w:rFonts w:ascii="Arial" w:cs="Arial" w:eastAsia="Arial" w:hAnsi="Arial"/>
                <w:sz w:val="12"/>
                <w:szCs w:val="12"/>
                <w:b w:val="1"/>
                <w:bCs w:val="1"/>
                <w:color w:val="auto"/>
              </w:rPr>
              <w:t>and Non-</w:t>
            </w:r>
          </w:p>
        </w:tc>
        <w:tc>
          <w:tcPr>
            <w:tcW w:w="880" w:type="dxa"/>
            <w:vAlign w:val="bottom"/>
            <w:vMerge w:val="restart"/>
          </w:tcPr>
          <w:p>
            <w:pPr>
              <w:jc w:val="center"/>
              <w:ind w:right="139"/>
              <w:spacing w:after="0"/>
              <w:rPr>
                <w:sz w:val="20"/>
                <w:szCs w:val="20"/>
                <w:color w:val="auto"/>
              </w:rPr>
            </w:pPr>
            <w:r>
              <w:rPr>
                <w:rFonts w:ascii="Arial" w:cs="Arial" w:eastAsia="Arial" w:hAnsi="Arial"/>
                <w:sz w:val="12"/>
                <w:szCs w:val="12"/>
                <w:b w:val="1"/>
                <w:bCs w:val="1"/>
                <w:color w:val="auto"/>
              </w:rPr>
              <w:t>All Other</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280" w:type="dxa"/>
            <w:vAlign w:val="bottom"/>
          </w:tcPr>
          <w:p>
            <w:pPr>
              <w:jc w:val="center"/>
              <w:ind w:right="39"/>
              <w:spacing w:after="0" w:line="128" w:lineRule="exact"/>
              <w:rPr>
                <w:sz w:val="20"/>
                <w:szCs w:val="20"/>
                <w:color w:val="auto"/>
              </w:rPr>
            </w:pPr>
            <w:r>
              <w:rPr>
                <w:rFonts w:ascii="Arial" w:cs="Arial" w:eastAsia="Arial" w:hAnsi="Arial"/>
                <w:sz w:val="12"/>
                <w:szCs w:val="12"/>
                <w:b w:val="1"/>
                <w:bCs w:val="1"/>
                <w:color w:val="auto"/>
              </w:rPr>
              <w:t>qualified Deferred</w:t>
            </w:r>
          </w:p>
        </w:tc>
        <w:tc>
          <w:tcPr>
            <w:tcW w:w="8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Salary</w:t>
            </w:r>
            <w:r>
              <w:rPr>
                <w:rFonts w:ascii="Arial" w:cs="Arial" w:eastAsia="Arial" w:hAnsi="Arial"/>
                <w:sz w:val="18"/>
                <w:szCs w:val="18"/>
                <w:b w:val="1"/>
                <w:bCs w:val="1"/>
                <w:color w:val="auto"/>
                <w:w w:val="98"/>
                <w:vertAlign w:val="superscript"/>
              </w:rPr>
              <w:t>(1)</w:t>
            </w:r>
          </w:p>
        </w:tc>
        <w:tc>
          <w:tcPr>
            <w:tcW w:w="960" w:type="dxa"/>
            <w:vAlign w:val="bottom"/>
            <w:vMerge w:val="restart"/>
          </w:tcPr>
          <w:p>
            <w:pPr>
              <w:jc w:val="center"/>
              <w:ind w:right="39"/>
              <w:spacing w:after="0"/>
              <w:rPr>
                <w:sz w:val="20"/>
                <w:szCs w:val="20"/>
                <w:color w:val="auto"/>
              </w:rPr>
            </w:pPr>
            <w:r>
              <w:rPr>
                <w:rFonts w:ascii="Arial" w:cs="Arial" w:eastAsia="Arial" w:hAnsi="Arial"/>
                <w:sz w:val="12"/>
                <w:szCs w:val="12"/>
                <w:b w:val="1"/>
                <w:bCs w:val="1"/>
                <w:color w:val="auto"/>
                <w:w w:val="96"/>
              </w:rPr>
              <w:t>Bonus</w:t>
            </w:r>
            <w:r>
              <w:rPr>
                <w:rFonts w:ascii="Arial" w:cs="Arial" w:eastAsia="Arial" w:hAnsi="Arial"/>
                <w:sz w:val="18"/>
                <w:szCs w:val="18"/>
                <w:b w:val="1"/>
                <w:bCs w:val="1"/>
                <w:color w:val="auto"/>
                <w:w w:val="96"/>
                <w:vertAlign w:val="superscript"/>
              </w:rPr>
              <w:t>(2)</w:t>
            </w:r>
          </w:p>
        </w:tc>
        <w:tc>
          <w:tcPr>
            <w:tcW w:w="980" w:type="dxa"/>
            <w:vAlign w:val="bottom"/>
          </w:tcPr>
          <w:p>
            <w:pPr>
              <w:jc w:val="center"/>
              <w:ind w:right="139"/>
              <w:spacing w:after="0" w:line="136" w:lineRule="exact"/>
              <w:rPr>
                <w:sz w:val="20"/>
                <w:szCs w:val="20"/>
                <w:color w:val="auto"/>
              </w:rPr>
            </w:pPr>
            <w:r>
              <w:rPr>
                <w:rFonts w:ascii="Arial" w:cs="Arial" w:eastAsia="Arial" w:hAnsi="Arial"/>
                <w:sz w:val="12"/>
                <w:szCs w:val="12"/>
                <w:b w:val="1"/>
                <w:bCs w:val="1"/>
                <w:color w:val="auto"/>
              </w:rPr>
              <w:t>Stock</w:t>
            </w:r>
          </w:p>
        </w:tc>
        <w:tc>
          <w:tcPr>
            <w:tcW w:w="880" w:type="dxa"/>
            <w:vAlign w:val="bottom"/>
          </w:tcPr>
          <w:p>
            <w:pPr>
              <w:jc w:val="center"/>
              <w:ind w:right="99"/>
              <w:spacing w:after="0" w:line="136" w:lineRule="exact"/>
              <w:rPr>
                <w:sz w:val="20"/>
                <w:szCs w:val="20"/>
                <w:color w:val="auto"/>
              </w:rPr>
            </w:pPr>
            <w:r>
              <w:rPr>
                <w:rFonts w:ascii="Arial" w:cs="Arial" w:eastAsia="Arial" w:hAnsi="Arial"/>
                <w:sz w:val="12"/>
                <w:szCs w:val="12"/>
                <w:b w:val="1"/>
                <w:bCs w:val="1"/>
                <w:color w:val="auto"/>
              </w:rPr>
              <w:t>Option</w:t>
            </w:r>
          </w:p>
        </w:tc>
        <w:tc>
          <w:tcPr>
            <w:tcW w:w="1220" w:type="dxa"/>
            <w:vAlign w:val="bottom"/>
          </w:tcPr>
          <w:p>
            <w:pPr>
              <w:jc w:val="center"/>
              <w:ind w:right="39"/>
              <w:spacing w:after="0" w:line="136" w:lineRule="exact"/>
              <w:rPr>
                <w:sz w:val="20"/>
                <w:szCs w:val="20"/>
                <w:color w:val="auto"/>
              </w:rPr>
            </w:pPr>
            <w:r>
              <w:rPr>
                <w:rFonts w:ascii="Arial" w:cs="Arial" w:eastAsia="Arial" w:hAnsi="Arial"/>
                <w:sz w:val="12"/>
                <w:szCs w:val="12"/>
                <w:b w:val="1"/>
                <w:bCs w:val="1"/>
                <w:color w:val="auto"/>
              </w:rPr>
              <w:t>Incentive Plan</w:t>
            </w:r>
          </w:p>
        </w:tc>
        <w:tc>
          <w:tcPr>
            <w:tcW w:w="1280" w:type="dxa"/>
            <w:vAlign w:val="bottom"/>
          </w:tcPr>
          <w:p>
            <w:pPr>
              <w:jc w:val="center"/>
              <w:ind w:right="39"/>
              <w:spacing w:after="0" w:line="136" w:lineRule="exact"/>
              <w:rPr>
                <w:sz w:val="20"/>
                <w:szCs w:val="20"/>
                <w:color w:val="auto"/>
              </w:rPr>
            </w:pPr>
            <w:r>
              <w:rPr>
                <w:rFonts w:ascii="Arial" w:cs="Arial" w:eastAsia="Arial" w:hAnsi="Arial"/>
                <w:sz w:val="12"/>
                <w:szCs w:val="12"/>
                <w:b w:val="1"/>
                <w:bCs w:val="1"/>
                <w:color w:val="auto"/>
              </w:rPr>
              <w:t>Compensation</w:t>
            </w:r>
          </w:p>
        </w:tc>
        <w:tc>
          <w:tcPr>
            <w:tcW w:w="880" w:type="dxa"/>
            <w:vAlign w:val="bottom"/>
          </w:tcPr>
          <w:p>
            <w:pPr>
              <w:jc w:val="center"/>
              <w:ind w:right="139"/>
              <w:spacing w:after="0" w:line="136" w:lineRule="exact"/>
              <w:rPr>
                <w:sz w:val="20"/>
                <w:szCs w:val="20"/>
                <w:color w:val="auto"/>
              </w:rPr>
            </w:pPr>
            <w:r>
              <w:rPr>
                <w:rFonts w:ascii="Arial" w:cs="Arial" w:eastAsia="Arial" w:hAnsi="Arial"/>
                <w:sz w:val="12"/>
                <w:szCs w:val="12"/>
                <w:b w:val="1"/>
                <w:bCs w:val="1"/>
                <w:color w:val="auto"/>
                <w:w w:val="99"/>
              </w:rPr>
              <w:t>Compen-</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600" w:type="dxa"/>
            <w:vAlign w:val="bottom"/>
          </w:tcPr>
          <w:p>
            <w:pPr>
              <w:jc w:val="center"/>
              <w:spacing w:after="0"/>
              <w:rPr>
                <w:sz w:val="20"/>
                <w:szCs w:val="20"/>
                <w:color w:val="auto"/>
              </w:rPr>
            </w:pPr>
            <w:r>
              <w:rPr>
                <w:rFonts w:ascii="Arial" w:cs="Arial" w:eastAsia="Arial" w:hAnsi="Arial"/>
                <w:sz w:val="12"/>
                <w:szCs w:val="12"/>
                <w:b w:val="1"/>
                <w:bCs w:val="1"/>
                <w:color w:val="auto"/>
              </w:rPr>
              <w:t>Name and</w:t>
            </w:r>
          </w:p>
        </w:tc>
        <w:tc>
          <w:tcPr>
            <w:tcW w:w="6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980" w:type="dxa"/>
            <w:vAlign w:val="bottom"/>
          </w:tcPr>
          <w:p>
            <w:pPr>
              <w:jc w:val="center"/>
              <w:ind w:right="119"/>
              <w:spacing w:after="0" w:line="154" w:lineRule="exact"/>
              <w:rPr>
                <w:sz w:val="20"/>
                <w:szCs w:val="20"/>
                <w:color w:val="auto"/>
              </w:rPr>
            </w:pPr>
            <w:r>
              <w:rPr>
                <w:rFonts w:ascii="Arial" w:cs="Arial" w:eastAsia="Arial" w:hAnsi="Arial"/>
                <w:sz w:val="12"/>
                <w:szCs w:val="12"/>
                <w:b w:val="1"/>
                <w:bCs w:val="1"/>
                <w:color w:val="auto"/>
                <w:w w:val="97"/>
              </w:rPr>
              <w:t>Awards</w:t>
            </w:r>
            <w:r>
              <w:rPr>
                <w:rFonts w:ascii="Arial" w:cs="Arial" w:eastAsia="Arial" w:hAnsi="Arial"/>
                <w:sz w:val="17"/>
                <w:szCs w:val="17"/>
                <w:b w:val="1"/>
                <w:bCs w:val="1"/>
                <w:color w:val="auto"/>
                <w:w w:val="97"/>
                <w:vertAlign w:val="superscript"/>
              </w:rPr>
              <w:t>(3)</w:t>
            </w:r>
          </w:p>
        </w:tc>
        <w:tc>
          <w:tcPr>
            <w:tcW w:w="880" w:type="dxa"/>
            <w:vAlign w:val="bottom"/>
          </w:tcPr>
          <w:p>
            <w:pPr>
              <w:jc w:val="center"/>
              <w:ind w:right="99"/>
              <w:spacing w:after="0" w:line="154" w:lineRule="exact"/>
              <w:rPr>
                <w:sz w:val="20"/>
                <w:szCs w:val="20"/>
                <w:color w:val="auto"/>
              </w:rPr>
            </w:pPr>
            <w:r>
              <w:rPr>
                <w:rFonts w:ascii="Arial" w:cs="Arial" w:eastAsia="Arial" w:hAnsi="Arial"/>
                <w:sz w:val="12"/>
                <w:szCs w:val="12"/>
                <w:b w:val="1"/>
                <w:bCs w:val="1"/>
                <w:color w:val="auto"/>
                <w:w w:val="97"/>
              </w:rPr>
              <w:t>Awards</w:t>
            </w:r>
            <w:r>
              <w:rPr>
                <w:rFonts w:ascii="Arial" w:cs="Arial" w:eastAsia="Arial" w:hAnsi="Arial"/>
                <w:sz w:val="17"/>
                <w:szCs w:val="17"/>
                <w:b w:val="1"/>
                <w:bCs w:val="1"/>
                <w:color w:val="auto"/>
                <w:w w:val="97"/>
                <w:vertAlign w:val="superscript"/>
              </w:rPr>
              <w:t>(4)</w:t>
            </w:r>
          </w:p>
        </w:tc>
        <w:tc>
          <w:tcPr>
            <w:tcW w:w="1220" w:type="dxa"/>
            <w:vAlign w:val="bottom"/>
          </w:tcPr>
          <w:p>
            <w:pPr>
              <w:jc w:val="center"/>
              <w:ind w:right="39"/>
              <w:spacing w:after="0" w:line="154" w:lineRule="exact"/>
              <w:rPr>
                <w:sz w:val="20"/>
                <w:szCs w:val="20"/>
                <w:color w:val="auto"/>
              </w:rPr>
            </w:pPr>
            <w:r>
              <w:rPr>
                <w:rFonts w:ascii="Arial" w:cs="Arial" w:eastAsia="Arial" w:hAnsi="Arial"/>
                <w:sz w:val="12"/>
                <w:szCs w:val="12"/>
                <w:b w:val="1"/>
                <w:bCs w:val="1"/>
                <w:color w:val="auto"/>
                <w:w w:val="98"/>
              </w:rPr>
              <w:t>Compensation</w:t>
            </w:r>
            <w:r>
              <w:rPr>
                <w:rFonts w:ascii="Arial" w:cs="Arial" w:eastAsia="Arial" w:hAnsi="Arial"/>
                <w:sz w:val="17"/>
                <w:szCs w:val="17"/>
                <w:b w:val="1"/>
                <w:bCs w:val="1"/>
                <w:color w:val="auto"/>
                <w:w w:val="98"/>
                <w:vertAlign w:val="superscript"/>
              </w:rPr>
              <w:t>(5)</w:t>
            </w:r>
          </w:p>
        </w:tc>
        <w:tc>
          <w:tcPr>
            <w:tcW w:w="1280" w:type="dxa"/>
            <w:vAlign w:val="bottom"/>
          </w:tcPr>
          <w:p>
            <w:pPr>
              <w:jc w:val="center"/>
              <w:ind w:right="39"/>
              <w:spacing w:after="0"/>
              <w:rPr>
                <w:sz w:val="20"/>
                <w:szCs w:val="20"/>
                <w:color w:val="auto"/>
              </w:rPr>
            </w:pPr>
            <w:r>
              <w:rPr>
                <w:rFonts w:ascii="Arial" w:cs="Arial" w:eastAsia="Arial" w:hAnsi="Arial"/>
                <w:sz w:val="12"/>
                <w:szCs w:val="12"/>
                <w:b w:val="1"/>
                <w:bCs w:val="1"/>
                <w:color w:val="auto"/>
              </w:rPr>
              <w:t>Earnings</w:t>
            </w:r>
          </w:p>
        </w:tc>
        <w:tc>
          <w:tcPr>
            <w:tcW w:w="880" w:type="dxa"/>
            <w:vAlign w:val="bottom"/>
          </w:tcPr>
          <w:p>
            <w:pPr>
              <w:jc w:val="center"/>
              <w:ind w:right="139"/>
              <w:spacing w:after="0" w:line="154" w:lineRule="exact"/>
              <w:rPr>
                <w:sz w:val="20"/>
                <w:szCs w:val="20"/>
                <w:color w:val="auto"/>
              </w:rPr>
            </w:pPr>
            <w:r>
              <w:rPr>
                <w:rFonts w:ascii="Arial" w:cs="Arial" w:eastAsia="Arial" w:hAnsi="Arial"/>
                <w:sz w:val="12"/>
                <w:szCs w:val="12"/>
                <w:b w:val="1"/>
                <w:bCs w:val="1"/>
                <w:color w:val="auto"/>
                <w:w w:val="97"/>
              </w:rPr>
              <w:t>sation</w:t>
            </w:r>
            <w:r>
              <w:rPr>
                <w:rFonts w:ascii="Arial" w:cs="Arial" w:eastAsia="Arial" w:hAnsi="Arial"/>
                <w:sz w:val="17"/>
                <w:szCs w:val="17"/>
                <w:b w:val="1"/>
                <w:bCs w:val="1"/>
                <w:color w:val="auto"/>
                <w:w w:val="97"/>
                <w:vertAlign w:val="superscript"/>
              </w:rPr>
              <w:t>(6)</w:t>
            </w:r>
          </w:p>
        </w:tc>
        <w:tc>
          <w:tcPr>
            <w:tcW w:w="700" w:type="dxa"/>
            <w:vAlign w:val="bottom"/>
          </w:tcPr>
          <w:p>
            <w:pPr>
              <w:jc w:val="center"/>
              <w:ind w:right="7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59"/>
        </w:trPr>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Principal Position</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Year</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95"/>
              </w:rPr>
              <w:t>($)</w:t>
            </w: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w w:val="95"/>
              </w:rPr>
              <w:t>($)</w:t>
            </w: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rPr>
              <w:t>($)</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95"/>
              </w:rPr>
              <w:t>($)</w:t>
            </w:r>
          </w:p>
        </w:tc>
        <w:tc>
          <w:tcPr>
            <w:tcW w:w="880" w:type="dxa"/>
            <w:vAlign w:val="bottom"/>
            <w:tcBorders>
              <w:bottom w:val="single" w:sz="8" w:color="auto"/>
            </w:tcBorders>
          </w:tcPr>
          <w:p>
            <w:pPr>
              <w:jc w:val="center"/>
              <w:ind w:right="139"/>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0"/>
        </w:trPr>
        <w:tc>
          <w:tcPr>
            <w:tcW w:w="1600" w:type="dxa"/>
            <w:vAlign w:val="bottom"/>
          </w:tcPr>
          <w:p>
            <w:pPr>
              <w:jc w:val="center"/>
              <w:spacing w:after="0"/>
              <w:rPr>
                <w:sz w:val="20"/>
                <w:szCs w:val="20"/>
                <w:color w:val="auto"/>
              </w:rPr>
            </w:pPr>
            <w:r>
              <w:rPr>
                <w:rFonts w:ascii="Arial" w:cs="Arial" w:eastAsia="Arial" w:hAnsi="Arial"/>
                <w:sz w:val="9"/>
                <w:szCs w:val="9"/>
                <w:b w:val="1"/>
                <w:bCs w:val="1"/>
                <w:color w:val="auto"/>
              </w:rPr>
              <w:t>(a)</w:t>
            </w: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rPr>
              <w:t>(b)</w:t>
            </w:r>
          </w:p>
        </w:tc>
        <w:tc>
          <w:tcPr>
            <w:tcW w:w="900" w:type="dxa"/>
            <w:vAlign w:val="bottom"/>
          </w:tcPr>
          <w:p>
            <w:pPr>
              <w:jc w:val="center"/>
              <w:spacing w:after="0"/>
              <w:rPr>
                <w:sz w:val="20"/>
                <w:szCs w:val="20"/>
                <w:color w:val="auto"/>
              </w:rPr>
            </w:pPr>
            <w:r>
              <w:rPr>
                <w:rFonts w:ascii="Arial" w:cs="Arial" w:eastAsia="Arial" w:hAnsi="Arial"/>
                <w:sz w:val="9"/>
                <w:szCs w:val="9"/>
                <w:b w:val="1"/>
                <w:bCs w:val="1"/>
                <w:color w:val="auto"/>
                <w:w w:val="90"/>
              </w:rPr>
              <w:t>(c)</w:t>
            </w:r>
          </w:p>
        </w:tc>
        <w:tc>
          <w:tcPr>
            <w:tcW w:w="960" w:type="dxa"/>
            <w:vAlign w:val="bottom"/>
          </w:tcPr>
          <w:p>
            <w:pPr>
              <w:jc w:val="center"/>
              <w:ind w:right="59"/>
              <w:spacing w:after="0"/>
              <w:rPr>
                <w:sz w:val="20"/>
                <w:szCs w:val="20"/>
                <w:color w:val="auto"/>
              </w:rPr>
            </w:pPr>
            <w:r>
              <w:rPr>
                <w:rFonts w:ascii="Arial" w:cs="Arial" w:eastAsia="Arial" w:hAnsi="Arial"/>
                <w:sz w:val="9"/>
                <w:szCs w:val="9"/>
                <w:b w:val="1"/>
                <w:bCs w:val="1"/>
                <w:color w:val="auto"/>
              </w:rPr>
              <w:t>(d)</w:t>
            </w:r>
          </w:p>
        </w:tc>
        <w:tc>
          <w:tcPr>
            <w:tcW w:w="980" w:type="dxa"/>
            <w:vAlign w:val="bottom"/>
          </w:tcPr>
          <w:p>
            <w:pPr>
              <w:jc w:val="center"/>
              <w:ind w:right="119"/>
              <w:spacing w:after="0"/>
              <w:rPr>
                <w:sz w:val="20"/>
                <w:szCs w:val="20"/>
                <w:color w:val="auto"/>
              </w:rPr>
            </w:pPr>
            <w:r>
              <w:rPr>
                <w:rFonts w:ascii="Arial" w:cs="Arial" w:eastAsia="Arial" w:hAnsi="Arial"/>
                <w:sz w:val="9"/>
                <w:szCs w:val="9"/>
                <w:b w:val="1"/>
                <w:bCs w:val="1"/>
                <w:color w:val="auto"/>
              </w:rPr>
              <w:t>(e)</w:t>
            </w:r>
          </w:p>
        </w:tc>
        <w:tc>
          <w:tcPr>
            <w:tcW w:w="880" w:type="dxa"/>
            <w:vAlign w:val="bottom"/>
          </w:tcPr>
          <w:p>
            <w:pPr>
              <w:jc w:val="center"/>
              <w:ind w:right="79"/>
              <w:spacing w:after="0"/>
              <w:rPr>
                <w:sz w:val="20"/>
                <w:szCs w:val="20"/>
                <w:color w:val="auto"/>
              </w:rPr>
            </w:pPr>
            <w:r>
              <w:rPr>
                <w:rFonts w:ascii="Arial" w:cs="Arial" w:eastAsia="Arial" w:hAnsi="Arial"/>
                <w:sz w:val="9"/>
                <w:szCs w:val="9"/>
                <w:b w:val="1"/>
                <w:bCs w:val="1"/>
                <w:color w:val="auto"/>
              </w:rPr>
              <w:t>(f)</w:t>
            </w:r>
          </w:p>
        </w:tc>
        <w:tc>
          <w:tcPr>
            <w:tcW w:w="1220" w:type="dxa"/>
            <w:vAlign w:val="bottom"/>
          </w:tcPr>
          <w:p>
            <w:pPr>
              <w:jc w:val="center"/>
              <w:ind w:right="39"/>
              <w:spacing w:after="0"/>
              <w:rPr>
                <w:sz w:val="20"/>
                <w:szCs w:val="20"/>
                <w:color w:val="auto"/>
              </w:rPr>
            </w:pPr>
            <w:r>
              <w:rPr>
                <w:rFonts w:ascii="Arial" w:cs="Arial" w:eastAsia="Arial" w:hAnsi="Arial"/>
                <w:sz w:val="9"/>
                <w:szCs w:val="9"/>
                <w:b w:val="1"/>
                <w:bCs w:val="1"/>
                <w:color w:val="auto"/>
              </w:rPr>
              <w:t>(g)</w:t>
            </w:r>
          </w:p>
        </w:tc>
        <w:tc>
          <w:tcPr>
            <w:tcW w:w="1280" w:type="dxa"/>
            <w:vAlign w:val="bottom"/>
          </w:tcPr>
          <w:p>
            <w:pPr>
              <w:jc w:val="center"/>
              <w:ind w:right="59"/>
              <w:spacing w:after="0"/>
              <w:rPr>
                <w:sz w:val="20"/>
                <w:szCs w:val="20"/>
                <w:color w:val="auto"/>
              </w:rPr>
            </w:pPr>
            <w:r>
              <w:rPr>
                <w:rFonts w:ascii="Arial" w:cs="Arial" w:eastAsia="Arial" w:hAnsi="Arial"/>
                <w:sz w:val="9"/>
                <w:szCs w:val="9"/>
                <w:b w:val="1"/>
                <w:bCs w:val="1"/>
                <w:color w:val="auto"/>
              </w:rPr>
              <w:t>(h)</w:t>
            </w:r>
          </w:p>
        </w:tc>
        <w:tc>
          <w:tcPr>
            <w:tcW w:w="880" w:type="dxa"/>
            <w:vAlign w:val="bottom"/>
          </w:tcPr>
          <w:p>
            <w:pPr>
              <w:jc w:val="center"/>
              <w:ind w:right="139"/>
              <w:spacing w:after="0"/>
              <w:rPr>
                <w:sz w:val="20"/>
                <w:szCs w:val="20"/>
                <w:color w:val="auto"/>
              </w:rPr>
            </w:pPr>
            <w:r>
              <w:rPr>
                <w:rFonts w:ascii="Arial" w:cs="Arial" w:eastAsia="Arial" w:hAnsi="Arial"/>
                <w:sz w:val="9"/>
                <w:szCs w:val="9"/>
                <w:b w:val="1"/>
                <w:bCs w:val="1"/>
                <w:color w:val="auto"/>
                <w:w w:val="93"/>
              </w:rPr>
              <w:t>(i)</w:t>
            </w:r>
          </w:p>
        </w:tc>
        <w:tc>
          <w:tcPr>
            <w:tcW w:w="700" w:type="dxa"/>
            <w:vAlign w:val="bottom"/>
          </w:tcPr>
          <w:p>
            <w:pPr>
              <w:jc w:val="center"/>
              <w:ind w:right="79"/>
              <w:spacing w:after="0"/>
              <w:rPr>
                <w:sz w:val="20"/>
                <w:szCs w:val="20"/>
                <w:color w:val="auto"/>
              </w:rPr>
            </w:pPr>
            <w:r>
              <w:rPr>
                <w:rFonts w:ascii="Arial" w:cs="Arial" w:eastAsia="Arial" w:hAnsi="Arial"/>
                <w:sz w:val="9"/>
                <w:szCs w:val="9"/>
                <w:b w:val="1"/>
                <w:bCs w:val="1"/>
                <w:color w:val="auto"/>
                <w:w w:val="93"/>
              </w:rPr>
              <w:t>(j)</w:t>
            </w:r>
          </w:p>
        </w:tc>
        <w:tc>
          <w:tcPr>
            <w:tcW w:w="0" w:type="dxa"/>
            <w:vAlign w:val="bottom"/>
          </w:tcPr>
          <w:p>
            <w:pPr>
              <w:spacing w:after="0"/>
              <w:rPr>
                <w:sz w:val="1"/>
                <w:szCs w:val="1"/>
                <w:color w:val="auto"/>
              </w:rPr>
            </w:pPr>
          </w:p>
        </w:tc>
      </w:tr>
      <w:tr>
        <w:trPr>
          <w:trHeight w:val="36"/>
        </w:trPr>
        <w:tc>
          <w:tcPr>
            <w:tcW w:w="1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600" w:type="dxa"/>
            <w:vAlign w:val="bottom"/>
            <w:shd w:val="clear" w:color="auto" w:fill="DFE4EA"/>
          </w:tcPr>
          <w:p>
            <w:pPr>
              <w:spacing w:after="0"/>
              <w:rPr>
                <w:sz w:val="20"/>
                <w:szCs w:val="20"/>
                <w:color w:val="auto"/>
              </w:rPr>
            </w:pPr>
            <w:r>
              <w:rPr>
                <w:rFonts w:ascii="Arial" w:cs="Arial" w:eastAsia="Arial" w:hAnsi="Arial"/>
                <w:sz w:val="12"/>
                <w:szCs w:val="12"/>
                <w:color w:val="auto"/>
              </w:rPr>
              <w:t>J. Patrick Mackin, Chairman,</w:t>
            </w:r>
          </w:p>
        </w:tc>
        <w:tc>
          <w:tcPr>
            <w:tcW w:w="600" w:type="dxa"/>
            <w:vAlign w:val="bottom"/>
            <w:shd w:val="clear" w:color="auto" w:fill="DFE4EA"/>
          </w:tcPr>
          <w:p>
            <w:pPr>
              <w:jc w:val="center"/>
              <w:spacing w:after="0"/>
              <w:rPr>
                <w:sz w:val="20"/>
                <w:szCs w:val="20"/>
                <w:color w:val="auto"/>
              </w:rPr>
            </w:pPr>
            <w:r>
              <w:rPr>
                <w:rFonts w:ascii="Arial" w:cs="Arial" w:eastAsia="Arial" w:hAnsi="Arial"/>
                <w:sz w:val="12"/>
                <w:szCs w:val="12"/>
                <w:color w:val="auto"/>
              </w:rPr>
              <w:t>2025</w:t>
            </w:r>
          </w:p>
        </w:tc>
        <w:tc>
          <w:tcPr>
            <w:tcW w:w="900" w:type="dxa"/>
            <w:vAlign w:val="bottom"/>
            <w:shd w:val="clear" w:color="auto" w:fill="DFE4EA"/>
          </w:tcPr>
          <w:p>
            <w:pPr>
              <w:jc w:val="center"/>
              <w:spacing w:after="0"/>
              <w:rPr>
                <w:sz w:val="20"/>
                <w:szCs w:val="20"/>
                <w:color w:val="auto"/>
              </w:rPr>
            </w:pPr>
            <w:r>
              <w:rPr>
                <w:rFonts w:ascii="Arial" w:cs="Arial" w:eastAsia="Arial" w:hAnsi="Arial"/>
                <w:sz w:val="12"/>
                <w:szCs w:val="12"/>
                <w:color w:val="auto"/>
              </w:rPr>
              <w:t>835,145</w:t>
            </w:r>
          </w:p>
        </w:tc>
        <w:tc>
          <w:tcPr>
            <w:tcW w:w="960" w:type="dxa"/>
            <w:vAlign w:val="bottom"/>
            <w:shd w:val="clear" w:color="auto" w:fill="DFE4EA"/>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shd w:val="clear" w:color="auto" w:fill="DFE4EA"/>
          </w:tcPr>
          <w:p>
            <w:pPr>
              <w:jc w:val="right"/>
              <w:ind w:right="19"/>
              <w:spacing w:after="0"/>
              <w:rPr>
                <w:sz w:val="20"/>
                <w:szCs w:val="20"/>
                <w:color w:val="auto"/>
              </w:rPr>
            </w:pPr>
            <w:r>
              <w:rPr>
                <w:rFonts w:ascii="Arial" w:cs="Arial" w:eastAsia="Arial" w:hAnsi="Arial"/>
                <w:sz w:val="12"/>
                <w:szCs w:val="12"/>
                <w:color w:val="auto"/>
              </w:rPr>
              <w:t>5,006,990</w:t>
            </w:r>
          </w:p>
        </w:tc>
        <w:tc>
          <w:tcPr>
            <w:tcW w:w="880" w:type="dxa"/>
            <w:vAlign w:val="bottom"/>
            <w:shd w:val="clear" w:color="auto" w:fill="DFE4EA"/>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DFE4EA"/>
          </w:tcPr>
          <w:p>
            <w:pPr>
              <w:jc w:val="right"/>
              <w:spacing w:after="0"/>
              <w:rPr>
                <w:sz w:val="20"/>
                <w:szCs w:val="20"/>
                <w:color w:val="auto"/>
              </w:rPr>
            </w:pPr>
            <w:r>
              <w:rPr>
                <w:rFonts w:ascii="Arial" w:cs="Arial" w:eastAsia="Arial" w:hAnsi="Arial"/>
                <w:sz w:val="12"/>
                <w:szCs w:val="12"/>
                <w:color w:val="auto"/>
              </w:rPr>
              <w:t>991,368</w:t>
            </w:r>
          </w:p>
        </w:tc>
        <w:tc>
          <w:tcPr>
            <w:tcW w:w="1280" w:type="dxa"/>
            <w:vAlign w:val="bottom"/>
            <w:shd w:val="clear" w:color="auto" w:fill="DFE4EA"/>
          </w:tcPr>
          <w:p>
            <w:pPr>
              <w:ind w:left="1080"/>
              <w:spacing w:after="0"/>
              <w:rPr>
                <w:sz w:val="20"/>
                <w:szCs w:val="20"/>
                <w:color w:val="auto"/>
              </w:rPr>
            </w:pPr>
            <w:r>
              <w:rPr>
                <w:rFonts w:ascii="Arial" w:cs="Arial" w:eastAsia="Arial" w:hAnsi="Arial"/>
                <w:sz w:val="12"/>
                <w:szCs w:val="12"/>
                <w:color w:val="auto"/>
              </w:rPr>
              <w:t>—</w:t>
            </w:r>
          </w:p>
        </w:tc>
        <w:tc>
          <w:tcPr>
            <w:tcW w:w="880" w:type="dxa"/>
            <w:vAlign w:val="bottom"/>
            <w:shd w:val="clear" w:color="auto" w:fill="DFE4EA"/>
          </w:tcPr>
          <w:p>
            <w:pPr>
              <w:jc w:val="right"/>
              <w:ind w:right="79"/>
              <w:spacing w:after="0"/>
              <w:rPr>
                <w:sz w:val="20"/>
                <w:szCs w:val="20"/>
                <w:color w:val="auto"/>
              </w:rPr>
            </w:pPr>
            <w:r>
              <w:rPr>
                <w:rFonts w:ascii="Arial" w:cs="Arial" w:eastAsia="Arial" w:hAnsi="Arial"/>
                <w:sz w:val="12"/>
                <w:szCs w:val="12"/>
                <w:color w:val="auto"/>
              </w:rPr>
              <w:t>49,605</w:t>
            </w: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6,883,108</w:t>
            </w:r>
          </w:p>
        </w:tc>
        <w:tc>
          <w:tcPr>
            <w:tcW w:w="0" w:type="dxa"/>
            <w:vAlign w:val="bottom"/>
          </w:tcPr>
          <w:p>
            <w:pPr>
              <w:spacing w:after="0"/>
              <w:rPr>
                <w:sz w:val="1"/>
                <w:szCs w:val="1"/>
                <w:color w:val="auto"/>
              </w:rPr>
            </w:pPr>
          </w:p>
        </w:tc>
      </w:tr>
      <w:tr>
        <w:trPr>
          <w:trHeight w:val="139"/>
        </w:trPr>
        <w:tc>
          <w:tcPr>
            <w:tcW w:w="1600" w:type="dxa"/>
            <w:vAlign w:val="bottom"/>
            <w:shd w:val="clear" w:color="auto" w:fill="DFE4EA"/>
          </w:tcPr>
          <w:p>
            <w:pPr>
              <w:spacing w:after="0"/>
              <w:rPr>
                <w:sz w:val="20"/>
                <w:szCs w:val="20"/>
                <w:color w:val="auto"/>
              </w:rPr>
            </w:pPr>
            <w:r>
              <w:rPr>
                <w:rFonts w:ascii="Arial" w:cs="Arial" w:eastAsia="Arial" w:hAnsi="Arial"/>
                <w:sz w:val="12"/>
                <w:szCs w:val="12"/>
                <w:color w:val="auto"/>
              </w:rPr>
              <w:t>President and Chief</w:t>
            </w:r>
          </w:p>
        </w:tc>
        <w:tc>
          <w:tcPr>
            <w:tcW w:w="6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2024</w:t>
            </w:r>
          </w:p>
        </w:tc>
        <w:tc>
          <w:tcPr>
            <w:tcW w:w="9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806,904</w:t>
            </w:r>
          </w:p>
        </w:tc>
        <w:tc>
          <w:tcPr>
            <w:tcW w:w="960" w:type="dxa"/>
            <w:vAlign w:val="bottom"/>
            <w:vMerge w:val="restart"/>
            <w:shd w:val="clear" w:color="auto" w:fill="DFE4EA"/>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FE4EA"/>
          </w:tcPr>
          <w:p>
            <w:pPr>
              <w:jc w:val="right"/>
              <w:ind w:right="19"/>
              <w:spacing w:after="0"/>
              <w:rPr>
                <w:sz w:val="20"/>
                <w:szCs w:val="20"/>
                <w:color w:val="auto"/>
              </w:rPr>
            </w:pPr>
            <w:r>
              <w:rPr>
                <w:rFonts w:ascii="Arial" w:cs="Arial" w:eastAsia="Arial" w:hAnsi="Arial"/>
                <w:sz w:val="12"/>
                <w:szCs w:val="12"/>
                <w:color w:val="auto"/>
              </w:rPr>
              <w:t>3,608,101</w:t>
            </w:r>
          </w:p>
        </w:tc>
        <w:tc>
          <w:tcPr>
            <w:tcW w:w="88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1,048,975</w:t>
            </w:r>
          </w:p>
        </w:tc>
        <w:tc>
          <w:tcPr>
            <w:tcW w:w="1280" w:type="dxa"/>
            <w:vAlign w:val="bottom"/>
            <w:vMerge w:val="restart"/>
            <w:shd w:val="clear" w:color="auto" w:fill="DFE4EA"/>
          </w:tcPr>
          <w:p>
            <w:pPr>
              <w:ind w:left="108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DFE4EA"/>
          </w:tcPr>
          <w:p>
            <w:pPr>
              <w:jc w:val="right"/>
              <w:ind w:right="79"/>
              <w:spacing w:after="0"/>
              <w:rPr>
                <w:sz w:val="20"/>
                <w:szCs w:val="20"/>
                <w:color w:val="auto"/>
              </w:rPr>
            </w:pPr>
            <w:r>
              <w:rPr>
                <w:rFonts w:ascii="Arial" w:cs="Arial" w:eastAsia="Arial" w:hAnsi="Arial"/>
                <w:sz w:val="12"/>
                <w:szCs w:val="12"/>
                <w:color w:val="auto"/>
              </w:rPr>
              <w:t>47,960</w:t>
            </w:r>
          </w:p>
        </w:tc>
        <w:tc>
          <w:tcPr>
            <w:tcW w:w="70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5,511,940</w:t>
            </w:r>
          </w:p>
        </w:tc>
        <w:tc>
          <w:tcPr>
            <w:tcW w:w="0" w:type="dxa"/>
            <w:vAlign w:val="bottom"/>
          </w:tcPr>
          <w:p>
            <w:pPr>
              <w:spacing w:after="0"/>
              <w:rPr>
                <w:sz w:val="1"/>
                <w:szCs w:val="1"/>
                <w:color w:val="auto"/>
              </w:rPr>
            </w:pPr>
          </w:p>
        </w:tc>
      </w:tr>
      <w:tr>
        <w:trPr>
          <w:trHeight w:val="71"/>
        </w:trPr>
        <w:tc>
          <w:tcPr>
            <w:tcW w:w="1600" w:type="dxa"/>
            <w:vAlign w:val="bottom"/>
            <w:vMerge w:val="restart"/>
            <w:shd w:val="clear" w:color="auto" w:fill="DFE4EA"/>
          </w:tcPr>
          <w:p>
            <w:pPr>
              <w:spacing w:after="0"/>
              <w:rPr>
                <w:sz w:val="20"/>
                <w:szCs w:val="20"/>
                <w:color w:val="auto"/>
              </w:rPr>
            </w:pPr>
            <w:r>
              <w:rPr>
                <w:rFonts w:ascii="Arial" w:cs="Arial" w:eastAsia="Arial" w:hAnsi="Arial"/>
                <w:sz w:val="12"/>
                <w:szCs w:val="12"/>
                <w:color w:val="auto"/>
              </w:rPr>
              <w:t>Executive Officer</w:t>
            </w:r>
          </w:p>
        </w:tc>
        <w:tc>
          <w:tcPr>
            <w:tcW w:w="600" w:type="dxa"/>
            <w:vAlign w:val="bottom"/>
            <w:vMerge w:val="continue"/>
            <w:shd w:val="clear" w:color="auto" w:fill="DFE4EA"/>
          </w:tcPr>
          <w:p>
            <w:pPr>
              <w:spacing w:after="0"/>
              <w:rPr>
                <w:sz w:val="6"/>
                <w:szCs w:val="6"/>
                <w:color w:val="auto"/>
              </w:rPr>
            </w:pPr>
          </w:p>
        </w:tc>
        <w:tc>
          <w:tcPr>
            <w:tcW w:w="900" w:type="dxa"/>
            <w:vAlign w:val="bottom"/>
            <w:vMerge w:val="continue"/>
            <w:shd w:val="clear" w:color="auto" w:fill="DFE4EA"/>
          </w:tcPr>
          <w:p>
            <w:pPr>
              <w:spacing w:after="0"/>
              <w:rPr>
                <w:sz w:val="6"/>
                <w:szCs w:val="6"/>
                <w:color w:val="auto"/>
              </w:rPr>
            </w:pPr>
          </w:p>
        </w:tc>
        <w:tc>
          <w:tcPr>
            <w:tcW w:w="960" w:type="dxa"/>
            <w:vAlign w:val="bottom"/>
            <w:vMerge w:val="continue"/>
            <w:shd w:val="clear" w:color="auto" w:fill="DFE4EA"/>
          </w:tcPr>
          <w:p>
            <w:pPr>
              <w:spacing w:after="0"/>
              <w:rPr>
                <w:sz w:val="6"/>
                <w:szCs w:val="6"/>
                <w:color w:val="auto"/>
              </w:rPr>
            </w:pPr>
          </w:p>
        </w:tc>
        <w:tc>
          <w:tcPr>
            <w:tcW w:w="980" w:type="dxa"/>
            <w:vAlign w:val="bottom"/>
            <w:vMerge w:val="continue"/>
            <w:shd w:val="clear" w:color="auto" w:fill="DFE4EA"/>
          </w:tcPr>
          <w:p>
            <w:pPr>
              <w:spacing w:after="0"/>
              <w:rPr>
                <w:sz w:val="6"/>
                <w:szCs w:val="6"/>
                <w:color w:val="auto"/>
              </w:rPr>
            </w:pPr>
          </w:p>
        </w:tc>
        <w:tc>
          <w:tcPr>
            <w:tcW w:w="880" w:type="dxa"/>
            <w:vAlign w:val="bottom"/>
            <w:vMerge w:val="continue"/>
            <w:shd w:val="clear" w:color="auto" w:fill="DFE4EA"/>
          </w:tcPr>
          <w:p>
            <w:pPr>
              <w:spacing w:after="0"/>
              <w:rPr>
                <w:sz w:val="6"/>
                <w:szCs w:val="6"/>
                <w:color w:val="auto"/>
              </w:rPr>
            </w:pPr>
          </w:p>
        </w:tc>
        <w:tc>
          <w:tcPr>
            <w:tcW w:w="1220" w:type="dxa"/>
            <w:vAlign w:val="bottom"/>
            <w:vMerge w:val="continue"/>
            <w:shd w:val="clear" w:color="auto" w:fill="DFE4EA"/>
          </w:tcPr>
          <w:p>
            <w:pPr>
              <w:spacing w:after="0"/>
              <w:rPr>
                <w:sz w:val="6"/>
                <w:szCs w:val="6"/>
                <w:color w:val="auto"/>
              </w:rPr>
            </w:pPr>
          </w:p>
        </w:tc>
        <w:tc>
          <w:tcPr>
            <w:tcW w:w="1280" w:type="dxa"/>
            <w:vAlign w:val="bottom"/>
            <w:vMerge w:val="continue"/>
            <w:shd w:val="clear" w:color="auto" w:fill="DFE4EA"/>
          </w:tcPr>
          <w:p>
            <w:pPr>
              <w:spacing w:after="0"/>
              <w:rPr>
                <w:sz w:val="6"/>
                <w:szCs w:val="6"/>
                <w:color w:val="auto"/>
              </w:rPr>
            </w:pPr>
          </w:p>
        </w:tc>
        <w:tc>
          <w:tcPr>
            <w:tcW w:w="880" w:type="dxa"/>
            <w:vAlign w:val="bottom"/>
            <w:vMerge w:val="continue"/>
            <w:shd w:val="clear" w:color="auto" w:fill="DFE4EA"/>
          </w:tcPr>
          <w:p>
            <w:pPr>
              <w:spacing w:after="0"/>
              <w:rPr>
                <w:sz w:val="6"/>
                <w:szCs w:val="6"/>
                <w:color w:val="auto"/>
              </w:rPr>
            </w:pPr>
          </w:p>
        </w:tc>
        <w:tc>
          <w:tcPr>
            <w:tcW w:w="700" w:type="dxa"/>
            <w:vAlign w:val="bottom"/>
            <w:vMerge w:val="continue"/>
            <w:shd w:val="clear" w:color="auto" w:fill="DFE4EA"/>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600" w:type="dxa"/>
            <w:vAlign w:val="bottom"/>
            <w:vMerge w:val="continue"/>
            <w:shd w:val="clear" w:color="auto" w:fill="DFE4EA"/>
          </w:tcPr>
          <w:p>
            <w:pPr>
              <w:spacing w:after="0"/>
              <w:rPr>
                <w:sz w:val="8"/>
                <w:szCs w:val="8"/>
                <w:color w:val="auto"/>
              </w:rPr>
            </w:pPr>
          </w:p>
        </w:tc>
        <w:tc>
          <w:tcPr>
            <w:tcW w:w="6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2023</w:t>
            </w:r>
          </w:p>
        </w:tc>
        <w:tc>
          <w:tcPr>
            <w:tcW w:w="9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775,869</w:t>
            </w:r>
          </w:p>
        </w:tc>
        <w:tc>
          <w:tcPr>
            <w:tcW w:w="960" w:type="dxa"/>
            <w:vAlign w:val="bottom"/>
            <w:vMerge w:val="restart"/>
            <w:shd w:val="clear" w:color="auto" w:fill="DFE4EA"/>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FE4EA"/>
          </w:tcPr>
          <w:p>
            <w:pPr>
              <w:jc w:val="right"/>
              <w:ind w:right="19"/>
              <w:spacing w:after="0"/>
              <w:rPr>
                <w:sz w:val="20"/>
                <w:szCs w:val="20"/>
                <w:color w:val="auto"/>
              </w:rPr>
            </w:pPr>
            <w:r>
              <w:rPr>
                <w:rFonts w:ascii="Arial" w:cs="Arial" w:eastAsia="Arial" w:hAnsi="Arial"/>
                <w:sz w:val="12"/>
                <w:szCs w:val="12"/>
                <w:color w:val="auto"/>
              </w:rPr>
              <w:t>801,938</w:t>
            </w:r>
          </w:p>
        </w:tc>
        <w:tc>
          <w:tcPr>
            <w:tcW w:w="88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1,551,738</w:t>
            </w:r>
          </w:p>
        </w:tc>
        <w:tc>
          <w:tcPr>
            <w:tcW w:w="1280" w:type="dxa"/>
            <w:vAlign w:val="bottom"/>
            <w:vMerge w:val="restart"/>
            <w:shd w:val="clear" w:color="auto" w:fill="DFE4EA"/>
          </w:tcPr>
          <w:p>
            <w:pPr>
              <w:ind w:left="108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DFE4EA"/>
          </w:tcPr>
          <w:p>
            <w:pPr>
              <w:jc w:val="right"/>
              <w:ind w:right="79"/>
              <w:spacing w:after="0"/>
              <w:rPr>
                <w:sz w:val="20"/>
                <w:szCs w:val="20"/>
                <w:color w:val="auto"/>
              </w:rPr>
            </w:pPr>
            <w:r>
              <w:rPr>
                <w:rFonts w:ascii="Arial" w:cs="Arial" w:eastAsia="Arial" w:hAnsi="Arial"/>
                <w:sz w:val="12"/>
                <w:szCs w:val="12"/>
                <w:color w:val="auto"/>
              </w:rPr>
              <w:t>46,868</w:t>
            </w:r>
          </w:p>
        </w:tc>
        <w:tc>
          <w:tcPr>
            <w:tcW w:w="70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3,176,413</w:t>
            </w:r>
          </w:p>
        </w:tc>
        <w:tc>
          <w:tcPr>
            <w:tcW w:w="0" w:type="dxa"/>
            <w:vAlign w:val="bottom"/>
          </w:tcPr>
          <w:p>
            <w:pPr>
              <w:spacing w:after="0"/>
              <w:rPr>
                <w:sz w:val="1"/>
                <w:szCs w:val="1"/>
                <w:color w:val="auto"/>
              </w:rPr>
            </w:pPr>
          </w:p>
        </w:tc>
      </w:tr>
      <w:tr>
        <w:trPr>
          <w:trHeight w:val="99"/>
        </w:trPr>
        <w:tc>
          <w:tcPr>
            <w:tcW w:w="1600" w:type="dxa"/>
            <w:vAlign w:val="bottom"/>
            <w:shd w:val="clear" w:color="auto" w:fill="DFE4EA"/>
          </w:tcPr>
          <w:p>
            <w:pPr>
              <w:spacing w:after="0"/>
              <w:rPr>
                <w:sz w:val="8"/>
                <w:szCs w:val="8"/>
                <w:color w:val="auto"/>
              </w:rPr>
            </w:pPr>
          </w:p>
        </w:tc>
        <w:tc>
          <w:tcPr>
            <w:tcW w:w="600" w:type="dxa"/>
            <w:vAlign w:val="bottom"/>
            <w:vMerge w:val="continue"/>
            <w:shd w:val="clear" w:color="auto" w:fill="DFE4EA"/>
          </w:tcPr>
          <w:p>
            <w:pPr>
              <w:spacing w:after="0"/>
              <w:rPr>
                <w:sz w:val="8"/>
                <w:szCs w:val="8"/>
                <w:color w:val="auto"/>
              </w:rPr>
            </w:pPr>
          </w:p>
        </w:tc>
        <w:tc>
          <w:tcPr>
            <w:tcW w:w="900" w:type="dxa"/>
            <w:vAlign w:val="bottom"/>
            <w:vMerge w:val="continue"/>
            <w:shd w:val="clear" w:color="auto" w:fill="DFE4EA"/>
          </w:tcPr>
          <w:p>
            <w:pPr>
              <w:spacing w:after="0"/>
              <w:rPr>
                <w:sz w:val="8"/>
                <w:szCs w:val="8"/>
                <w:color w:val="auto"/>
              </w:rPr>
            </w:pPr>
          </w:p>
        </w:tc>
        <w:tc>
          <w:tcPr>
            <w:tcW w:w="960" w:type="dxa"/>
            <w:vAlign w:val="bottom"/>
            <w:vMerge w:val="continue"/>
            <w:shd w:val="clear" w:color="auto" w:fill="DFE4EA"/>
          </w:tcPr>
          <w:p>
            <w:pPr>
              <w:spacing w:after="0"/>
              <w:rPr>
                <w:sz w:val="8"/>
                <w:szCs w:val="8"/>
                <w:color w:val="auto"/>
              </w:rPr>
            </w:pPr>
          </w:p>
        </w:tc>
        <w:tc>
          <w:tcPr>
            <w:tcW w:w="980" w:type="dxa"/>
            <w:vAlign w:val="bottom"/>
            <w:vMerge w:val="continue"/>
            <w:shd w:val="clear" w:color="auto" w:fill="DFE4EA"/>
          </w:tcPr>
          <w:p>
            <w:pPr>
              <w:spacing w:after="0"/>
              <w:rPr>
                <w:sz w:val="8"/>
                <w:szCs w:val="8"/>
                <w:color w:val="auto"/>
              </w:rPr>
            </w:pPr>
          </w:p>
        </w:tc>
        <w:tc>
          <w:tcPr>
            <w:tcW w:w="880" w:type="dxa"/>
            <w:vAlign w:val="bottom"/>
            <w:vMerge w:val="continue"/>
            <w:shd w:val="clear" w:color="auto" w:fill="DFE4EA"/>
          </w:tcPr>
          <w:p>
            <w:pPr>
              <w:spacing w:after="0"/>
              <w:rPr>
                <w:sz w:val="8"/>
                <w:szCs w:val="8"/>
                <w:color w:val="auto"/>
              </w:rPr>
            </w:pPr>
          </w:p>
        </w:tc>
        <w:tc>
          <w:tcPr>
            <w:tcW w:w="1220" w:type="dxa"/>
            <w:vAlign w:val="bottom"/>
            <w:vMerge w:val="continue"/>
            <w:shd w:val="clear" w:color="auto" w:fill="DFE4EA"/>
          </w:tcPr>
          <w:p>
            <w:pPr>
              <w:spacing w:after="0"/>
              <w:rPr>
                <w:sz w:val="8"/>
                <w:szCs w:val="8"/>
                <w:color w:val="auto"/>
              </w:rPr>
            </w:pPr>
          </w:p>
        </w:tc>
        <w:tc>
          <w:tcPr>
            <w:tcW w:w="1280" w:type="dxa"/>
            <w:vAlign w:val="bottom"/>
            <w:vMerge w:val="continue"/>
            <w:shd w:val="clear" w:color="auto" w:fill="DFE4EA"/>
          </w:tcPr>
          <w:p>
            <w:pPr>
              <w:spacing w:after="0"/>
              <w:rPr>
                <w:sz w:val="8"/>
                <w:szCs w:val="8"/>
                <w:color w:val="auto"/>
              </w:rPr>
            </w:pPr>
          </w:p>
        </w:tc>
        <w:tc>
          <w:tcPr>
            <w:tcW w:w="880" w:type="dxa"/>
            <w:vAlign w:val="bottom"/>
            <w:vMerge w:val="continue"/>
            <w:shd w:val="clear" w:color="auto" w:fill="DFE4EA"/>
          </w:tcPr>
          <w:p>
            <w:pPr>
              <w:spacing w:after="0"/>
              <w:rPr>
                <w:sz w:val="8"/>
                <w:szCs w:val="8"/>
                <w:color w:val="auto"/>
              </w:rPr>
            </w:pPr>
          </w:p>
        </w:tc>
        <w:tc>
          <w:tcPr>
            <w:tcW w:w="700" w:type="dxa"/>
            <w:vAlign w:val="bottom"/>
            <w:vMerge w:val="continue"/>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600" w:type="dxa"/>
            <w:vAlign w:val="bottom"/>
          </w:tcPr>
          <w:p>
            <w:pPr>
              <w:spacing w:after="0"/>
              <w:rPr>
                <w:sz w:val="20"/>
                <w:szCs w:val="20"/>
                <w:color w:val="auto"/>
              </w:rPr>
            </w:pPr>
            <w:r>
              <w:rPr>
                <w:rFonts w:ascii="Arial" w:cs="Arial" w:eastAsia="Arial" w:hAnsi="Arial"/>
                <w:sz w:val="12"/>
                <w:szCs w:val="12"/>
                <w:color w:val="auto"/>
              </w:rPr>
              <w:t>Lance A. Berry, Executive</w:t>
            </w:r>
          </w:p>
        </w:tc>
        <w:tc>
          <w:tcPr>
            <w:tcW w:w="600" w:type="dxa"/>
            <w:vAlign w:val="bottom"/>
          </w:tcPr>
          <w:p>
            <w:pPr>
              <w:jc w:val="center"/>
              <w:spacing w:after="0"/>
              <w:rPr>
                <w:sz w:val="20"/>
                <w:szCs w:val="20"/>
                <w:color w:val="auto"/>
              </w:rPr>
            </w:pPr>
            <w:r>
              <w:rPr>
                <w:rFonts w:ascii="Arial" w:cs="Arial" w:eastAsia="Arial" w:hAnsi="Arial"/>
                <w:sz w:val="12"/>
                <w:szCs w:val="12"/>
                <w:color w:val="auto"/>
              </w:rPr>
              <w:t>2025</w:t>
            </w:r>
          </w:p>
        </w:tc>
        <w:tc>
          <w:tcPr>
            <w:tcW w:w="900" w:type="dxa"/>
            <w:vAlign w:val="bottom"/>
          </w:tcPr>
          <w:p>
            <w:pPr>
              <w:jc w:val="center"/>
              <w:spacing w:after="0"/>
              <w:rPr>
                <w:sz w:val="20"/>
                <w:szCs w:val="20"/>
                <w:color w:val="auto"/>
              </w:rPr>
            </w:pPr>
            <w:r>
              <w:rPr>
                <w:rFonts w:ascii="Arial" w:cs="Arial" w:eastAsia="Arial" w:hAnsi="Arial"/>
                <w:sz w:val="12"/>
                <w:szCs w:val="12"/>
                <w:color w:val="auto"/>
              </w:rPr>
              <w:t>526,377</w:t>
            </w:r>
          </w:p>
        </w:tc>
        <w:tc>
          <w:tcPr>
            <w:tcW w:w="9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9"/>
              <w:spacing w:after="0"/>
              <w:rPr>
                <w:sz w:val="20"/>
                <w:szCs w:val="20"/>
                <w:color w:val="auto"/>
              </w:rPr>
            </w:pPr>
            <w:r>
              <w:rPr>
                <w:rFonts w:ascii="Arial" w:cs="Arial" w:eastAsia="Arial" w:hAnsi="Arial"/>
                <w:sz w:val="12"/>
                <w:szCs w:val="12"/>
                <w:color w:val="auto"/>
              </w:rPr>
              <w:t>1,959,984</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400,194</w:t>
            </w:r>
          </w:p>
        </w:tc>
        <w:tc>
          <w:tcPr>
            <w:tcW w:w="1280" w:type="dxa"/>
            <w:vAlign w:val="bottom"/>
          </w:tcPr>
          <w:p>
            <w:pPr>
              <w:ind w:left="108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90,536</w:t>
            </w:r>
          </w:p>
        </w:tc>
        <w:tc>
          <w:tcPr>
            <w:tcW w:w="700" w:type="dxa"/>
            <w:vAlign w:val="bottom"/>
          </w:tcPr>
          <w:p>
            <w:pPr>
              <w:jc w:val="right"/>
              <w:spacing w:after="0"/>
              <w:rPr>
                <w:sz w:val="20"/>
                <w:szCs w:val="20"/>
                <w:color w:val="auto"/>
              </w:rPr>
            </w:pPr>
            <w:r>
              <w:rPr>
                <w:rFonts w:ascii="Arial" w:cs="Arial" w:eastAsia="Arial" w:hAnsi="Arial"/>
                <w:sz w:val="12"/>
                <w:szCs w:val="12"/>
                <w:color w:val="auto"/>
              </w:rPr>
              <w:t>2,977,091</w:t>
            </w:r>
          </w:p>
        </w:tc>
        <w:tc>
          <w:tcPr>
            <w:tcW w:w="0" w:type="dxa"/>
            <w:vAlign w:val="bottom"/>
          </w:tcPr>
          <w:p>
            <w:pPr>
              <w:spacing w:after="0"/>
              <w:rPr>
                <w:sz w:val="1"/>
                <w:szCs w:val="1"/>
                <w:color w:val="auto"/>
              </w:rPr>
            </w:pPr>
          </w:p>
        </w:tc>
      </w:tr>
      <w:tr>
        <w:trPr>
          <w:trHeight w:val="139"/>
        </w:trPr>
        <w:tc>
          <w:tcPr>
            <w:tcW w:w="1600" w:type="dxa"/>
            <w:vAlign w:val="bottom"/>
          </w:tcPr>
          <w:p>
            <w:pPr>
              <w:spacing w:after="0"/>
              <w:rPr>
                <w:sz w:val="20"/>
                <w:szCs w:val="20"/>
                <w:color w:val="auto"/>
              </w:rPr>
            </w:pPr>
            <w:r>
              <w:rPr>
                <w:rFonts w:ascii="Arial" w:cs="Arial" w:eastAsia="Arial" w:hAnsi="Arial"/>
                <w:sz w:val="12"/>
                <w:szCs w:val="12"/>
                <w:color w:val="auto"/>
              </w:rPr>
              <w:t>Vice President, Chief</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rPr>
              <w:t>2024</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rPr>
              <w:t>500,000</w:t>
            </w:r>
          </w:p>
        </w:tc>
        <w:tc>
          <w:tcPr>
            <w:tcW w:w="96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ind w:right="19"/>
              <w:spacing w:after="0"/>
              <w:rPr>
                <w:sz w:val="20"/>
                <w:szCs w:val="20"/>
                <w:color w:val="auto"/>
              </w:rPr>
            </w:pPr>
            <w:r>
              <w:rPr>
                <w:rFonts w:ascii="Arial" w:cs="Arial" w:eastAsia="Arial" w:hAnsi="Arial"/>
                <w:sz w:val="12"/>
                <w:szCs w:val="12"/>
                <w:color w:val="auto"/>
              </w:rPr>
              <w:t>1,499,980</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390,000</w:t>
            </w:r>
          </w:p>
        </w:tc>
        <w:tc>
          <w:tcPr>
            <w:tcW w:w="1280" w:type="dxa"/>
            <w:vAlign w:val="bottom"/>
            <w:vMerge w:val="restart"/>
          </w:tcPr>
          <w:p>
            <w:pPr>
              <w:ind w:left="1080"/>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79"/>
              <w:spacing w:after="0"/>
              <w:rPr>
                <w:sz w:val="20"/>
                <w:szCs w:val="20"/>
                <w:color w:val="auto"/>
              </w:rPr>
            </w:pPr>
            <w:r>
              <w:rPr>
                <w:rFonts w:ascii="Arial" w:cs="Arial" w:eastAsia="Arial" w:hAnsi="Arial"/>
                <w:sz w:val="12"/>
                <w:szCs w:val="12"/>
                <w:color w:val="auto"/>
              </w:rPr>
              <w:t>184,053</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2,574,033</w:t>
            </w:r>
          </w:p>
        </w:tc>
        <w:tc>
          <w:tcPr>
            <w:tcW w:w="0" w:type="dxa"/>
            <w:vAlign w:val="bottom"/>
          </w:tcPr>
          <w:p>
            <w:pPr>
              <w:spacing w:after="0"/>
              <w:rPr>
                <w:sz w:val="1"/>
                <w:szCs w:val="1"/>
                <w:color w:val="auto"/>
              </w:rPr>
            </w:pPr>
          </w:p>
        </w:tc>
      </w:tr>
      <w:tr>
        <w:trPr>
          <w:trHeight w:val="139"/>
        </w:trPr>
        <w:tc>
          <w:tcPr>
            <w:tcW w:w="1600" w:type="dxa"/>
            <w:vAlign w:val="bottom"/>
          </w:tcPr>
          <w:p>
            <w:pPr>
              <w:spacing w:after="0"/>
              <w:rPr>
                <w:sz w:val="20"/>
                <w:szCs w:val="20"/>
                <w:color w:val="auto"/>
              </w:rPr>
            </w:pPr>
            <w:r>
              <w:rPr>
                <w:rFonts w:ascii="Arial" w:cs="Arial" w:eastAsia="Arial" w:hAnsi="Arial"/>
                <w:sz w:val="12"/>
                <w:szCs w:val="12"/>
                <w:color w:val="auto"/>
              </w:rPr>
              <w:t>Operating Officer, Chief</w:t>
            </w:r>
          </w:p>
        </w:tc>
        <w:tc>
          <w:tcPr>
            <w:tcW w:w="6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600" w:type="dxa"/>
            <w:vAlign w:val="bottom"/>
          </w:tcPr>
          <w:p>
            <w:pPr>
              <w:spacing w:after="0" w:line="125" w:lineRule="exact"/>
              <w:rPr>
                <w:sz w:val="20"/>
                <w:szCs w:val="20"/>
                <w:color w:val="auto"/>
              </w:rPr>
            </w:pPr>
            <w:r>
              <w:rPr>
                <w:rFonts w:ascii="Arial" w:cs="Arial" w:eastAsia="Arial" w:hAnsi="Arial"/>
                <w:sz w:val="12"/>
                <w:szCs w:val="12"/>
                <w:color w:val="auto"/>
              </w:rPr>
              <w:t>Financial Officer, and</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rPr>
              <w:t>2023</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rPr>
              <w:t>38,356</w:t>
            </w:r>
          </w:p>
        </w:tc>
        <w:tc>
          <w:tcPr>
            <w:tcW w:w="960" w:type="dxa"/>
            <w:vAlign w:val="bottom"/>
            <w:vMerge w:val="restart"/>
          </w:tcPr>
          <w:p>
            <w:pPr>
              <w:jc w:val="right"/>
              <w:ind w:right="39"/>
              <w:spacing w:after="0"/>
              <w:rPr>
                <w:sz w:val="20"/>
                <w:szCs w:val="20"/>
                <w:color w:val="auto"/>
              </w:rPr>
            </w:pPr>
            <w:r>
              <w:rPr>
                <w:rFonts w:ascii="Arial" w:cs="Arial" w:eastAsia="Arial" w:hAnsi="Arial"/>
                <w:sz w:val="12"/>
                <w:szCs w:val="12"/>
                <w:color w:val="auto"/>
              </w:rPr>
              <w:t>100,000</w:t>
            </w:r>
          </w:p>
        </w:tc>
        <w:tc>
          <w:tcPr>
            <w:tcW w:w="980" w:type="dxa"/>
            <w:vAlign w:val="bottom"/>
            <w:vMerge w:val="restart"/>
          </w:tcPr>
          <w:p>
            <w:pPr>
              <w:jc w:val="right"/>
              <w:ind w:right="19"/>
              <w:spacing w:after="0"/>
              <w:rPr>
                <w:sz w:val="20"/>
                <w:szCs w:val="20"/>
                <w:color w:val="auto"/>
              </w:rPr>
            </w:pPr>
            <w:r>
              <w:rPr>
                <w:rFonts w:ascii="Arial" w:cs="Arial" w:eastAsia="Arial" w:hAnsi="Arial"/>
                <w:sz w:val="12"/>
                <w:szCs w:val="12"/>
                <w:color w:val="auto"/>
              </w:rPr>
              <w:t>750,001</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750,000</w:t>
            </w: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80" w:type="dxa"/>
            <w:vAlign w:val="bottom"/>
            <w:vMerge w:val="restart"/>
          </w:tcPr>
          <w:p>
            <w:pPr>
              <w:ind w:left="1080"/>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1,638,357</w:t>
            </w:r>
          </w:p>
        </w:tc>
        <w:tc>
          <w:tcPr>
            <w:tcW w:w="0" w:type="dxa"/>
            <w:vAlign w:val="bottom"/>
          </w:tcPr>
          <w:p>
            <w:pPr>
              <w:spacing w:after="0"/>
              <w:rPr>
                <w:sz w:val="1"/>
                <w:szCs w:val="1"/>
                <w:color w:val="auto"/>
              </w:rPr>
            </w:pPr>
          </w:p>
        </w:tc>
      </w:tr>
      <w:tr>
        <w:trPr>
          <w:trHeight w:val="196"/>
        </w:trPr>
        <w:tc>
          <w:tcPr>
            <w:tcW w:w="1600" w:type="dxa"/>
            <w:vAlign w:val="bottom"/>
          </w:tcPr>
          <w:p>
            <w:pPr>
              <w:spacing w:after="0" w:line="196" w:lineRule="exact"/>
              <w:rPr>
                <w:sz w:val="20"/>
                <w:szCs w:val="20"/>
                <w:color w:val="auto"/>
              </w:rPr>
            </w:pPr>
            <w:r>
              <w:rPr>
                <w:rFonts w:ascii="Arial" w:cs="Arial" w:eastAsia="Arial" w:hAnsi="Arial"/>
                <w:sz w:val="12"/>
                <w:szCs w:val="12"/>
                <w:color w:val="auto"/>
              </w:rPr>
              <w:t>Treasurer</w:t>
            </w:r>
            <w:r>
              <w:rPr>
                <w:rFonts w:ascii="Arial" w:cs="Arial" w:eastAsia="Arial" w:hAnsi="Arial"/>
                <w:sz w:val="18"/>
                <w:szCs w:val="18"/>
                <w:color w:val="auto"/>
                <w:vertAlign w:val="superscript"/>
              </w:rPr>
              <w:t>(7)</w:t>
            </w:r>
          </w:p>
        </w:tc>
        <w:tc>
          <w:tcPr>
            <w:tcW w:w="6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600" w:type="dxa"/>
            <w:vAlign w:val="bottom"/>
            <w:shd w:val="clear" w:color="auto" w:fill="DFE4EA"/>
          </w:tcPr>
          <w:p>
            <w:pPr>
              <w:spacing w:after="0"/>
              <w:rPr>
                <w:sz w:val="20"/>
                <w:szCs w:val="20"/>
                <w:color w:val="auto"/>
              </w:rPr>
            </w:pPr>
            <w:r>
              <w:rPr>
                <w:rFonts w:ascii="Arial" w:cs="Arial" w:eastAsia="Arial" w:hAnsi="Arial"/>
                <w:sz w:val="12"/>
                <w:szCs w:val="12"/>
                <w:color w:val="auto"/>
              </w:rPr>
              <w:t>Jean F. Holloway,</w:t>
            </w:r>
          </w:p>
        </w:tc>
        <w:tc>
          <w:tcPr>
            <w:tcW w:w="600" w:type="dxa"/>
            <w:vAlign w:val="bottom"/>
            <w:shd w:val="clear" w:color="auto" w:fill="DFE4EA"/>
          </w:tcPr>
          <w:p>
            <w:pPr>
              <w:jc w:val="center"/>
              <w:spacing w:after="0"/>
              <w:rPr>
                <w:sz w:val="20"/>
                <w:szCs w:val="20"/>
                <w:color w:val="auto"/>
              </w:rPr>
            </w:pPr>
            <w:r>
              <w:rPr>
                <w:rFonts w:ascii="Arial" w:cs="Arial" w:eastAsia="Arial" w:hAnsi="Arial"/>
                <w:sz w:val="12"/>
                <w:szCs w:val="12"/>
                <w:color w:val="auto"/>
              </w:rPr>
              <w:t>2025</w:t>
            </w:r>
          </w:p>
        </w:tc>
        <w:tc>
          <w:tcPr>
            <w:tcW w:w="900" w:type="dxa"/>
            <w:vAlign w:val="bottom"/>
            <w:shd w:val="clear" w:color="auto" w:fill="DFE4EA"/>
          </w:tcPr>
          <w:p>
            <w:pPr>
              <w:jc w:val="center"/>
              <w:spacing w:after="0"/>
              <w:rPr>
                <w:sz w:val="20"/>
                <w:szCs w:val="20"/>
                <w:color w:val="auto"/>
              </w:rPr>
            </w:pPr>
            <w:r>
              <w:rPr>
                <w:rFonts w:ascii="Arial" w:cs="Arial" w:eastAsia="Arial" w:hAnsi="Arial"/>
                <w:sz w:val="12"/>
                <w:szCs w:val="12"/>
                <w:color w:val="auto"/>
              </w:rPr>
              <w:t>438,408</w:t>
            </w:r>
          </w:p>
        </w:tc>
        <w:tc>
          <w:tcPr>
            <w:tcW w:w="960" w:type="dxa"/>
            <w:vAlign w:val="bottom"/>
            <w:shd w:val="clear" w:color="auto" w:fill="DFE4EA"/>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shd w:val="clear" w:color="auto" w:fill="DFE4EA"/>
          </w:tcPr>
          <w:p>
            <w:pPr>
              <w:jc w:val="right"/>
              <w:ind w:right="19"/>
              <w:spacing w:after="0"/>
              <w:rPr>
                <w:sz w:val="20"/>
                <w:szCs w:val="20"/>
                <w:color w:val="auto"/>
              </w:rPr>
            </w:pPr>
            <w:r>
              <w:rPr>
                <w:rFonts w:ascii="Arial" w:cs="Arial" w:eastAsia="Arial" w:hAnsi="Arial"/>
                <w:sz w:val="12"/>
                <w:szCs w:val="12"/>
                <w:color w:val="auto"/>
              </w:rPr>
              <w:t>1,190,001</w:t>
            </w:r>
          </w:p>
        </w:tc>
        <w:tc>
          <w:tcPr>
            <w:tcW w:w="880" w:type="dxa"/>
            <w:vAlign w:val="bottom"/>
            <w:shd w:val="clear" w:color="auto" w:fill="DFE4EA"/>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DFE4EA"/>
          </w:tcPr>
          <w:p>
            <w:pPr>
              <w:jc w:val="right"/>
              <w:spacing w:after="0"/>
              <w:rPr>
                <w:sz w:val="20"/>
                <w:szCs w:val="20"/>
                <w:color w:val="auto"/>
              </w:rPr>
            </w:pPr>
            <w:r>
              <w:rPr>
                <w:rFonts w:ascii="Arial" w:cs="Arial" w:eastAsia="Arial" w:hAnsi="Arial"/>
                <w:sz w:val="12"/>
                <w:szCs w:val="12"/>
                <w:color w:val="auto"/>
              </w:rPr>
              <w:t>260,208</w:t>
            </w:r>
          </w:p>
        </w:tc>
        <w:tc>
          <w:tcPr>
            <w:tcW w:w="1280" w:type="dxa"/>
            <w:vAlign w:val="bottom"/>
            <w:shd w:val="clear" w:color="auto" w:fill="DFE4EA"/>
          </w:tcPr>
          <w:p>
            <w:pPr>
              <w:ind w:left="1080"/>
              <w:spacing w:after="0"/>
              <w:rPr>
                <w:sz w:val="20"/>
                <w:szCs w:val="20"/>
                <w:color w:val="auto"/>
              </w:rPr>
            </w:pPr>
            <w:r>
              <w:rPr>
                <w:rFonts w:ascii="Arial" w:cs="Arial" w:eastAsia="Arial" w:hAnsi="Arial"/>
                <w:sz w:val="12"/>
                <w:szCs w:val="12"/>
                <w:color w:val="auto"/>
              </w:rPr>
              <w:t>—</w:t>
            </w:r>
          </w:p>
        </w:tc>
        <w:tc>
          <w:tcPr>
            <w:tcW w:w="880" w:type="dxa"/>
            <w:vAlign w:val="bottom"/>
            <w:shd w:val="clear" w:color="auto" w:fill="DFE4EA"/>
          </w:tcPr>
          <w:p>
            <w:pPr>
              <w:jc w:val="right"/>
              <w:ind w:right="79"/>
              <w:spacing w:after="0"/>
              <w:rPr>
                <w:sz w:val="20"/>
                <w:szCs w:val="20"/>
                <w:color w:val="auto"/>
              </w:rPr>
            </w:pPr>
            <w:r>
              <w:rPr>
                <w:rFonts w:ascii="Arial" w:cs="Arial" w:eastAsia="Arial" w:hAnsi="Arial"/>
                <w:sz w:val="12"/>
                <w:szCs w:val="12"/>
                <w:color w:val="auto"/>
              </w:rPr>
              <w:t>20,980</w:t>
            </w: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1,909,597</w:t>
            </w:r>
          </w:p>
        </w:tc>
        <w:tc>
          <w:tcPr>
            <w:tcW w:w="0" w:type="dxa"/>
            <w:vAlign w:val="bottom"/>
          </w:tcPr>
          <w:p>
            <w:pPr>
              <w:spacing w:after="0"/>
              <w:rPr>
                <w:sz w:val="1"/>
                <w:szCs w:val="1"/>
                <w:color w:val="auto"/>
              </w:rPr>
            </w:pPr>
          </w:p>
        </w:tc>
      </w:tr>
      <w:tr>
        <w:trPr>
          <w:trHeight w:val="139"/>
        </w:trPr>
        <w:tc>
          <w:tcPr>
            <w:tcW w:w="1600" w:type="dxa"/>
            <w:vAlign w:val="bottom"/>
            <w:shd w:val="clear" w:color="auto" w:fill="DFE4EA"/>
          </w:tcPr>
          <w:p>
            <w:pPr>
              <w:spacing w:after="0"/>
              <w:rPr>
                <w:sz w:val="20"/>
                <w:szCs w:val="20"/>
                <w:color w:val="auto"/>
              </w:rPr>
            </w:pPr>
            <w:r>
              <w:rPr>
                <w:rFonts w:ascii="Arial" w:cs="Arial" w:eastAsia="Arial" w:hAnsi="Arial"/>
                <w:sz w:val="12"/>
                <w:szCs w:val="12"/>
                <w:color w:val="auto"/>
              </w:rPr>
              <w:t>Senior Vice President,</w:t>
            </w:r>
          </w:p>
        </w:tc>
        <w:tc>
          <w:tcPr>
            <w:tcW w:w="6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2024</w:t>
            </w:r>
          </w:p>
        </w:tc>
        <w:tc>
          <w:tcPr>
            <w:tcW w:w="9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425,639</w:t>
            </w:r>
          </w:p>
        </w:tc>
        <w:tc>
          <w:tcPr>
            <w:tcW w:w="960" w:type="dxa"/>
            <w:vAlign w:val="bottom"/>
            <w:vMerge w:val="restart"/>
            <w:shd w:val="clear" w:color="auto" w:fill="DFE4EA"/>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FE4EA"/>
          </w:tcPr>
          <w:p>
            <w:pPr>
              <w:jc w:val="right"/>
              <w:ind w:right="19"/>
              <w:spacing w:after="0"/>
              <w:rPr>
                <w:sz w:val="20"/>
                <w:szCs w:val="20"/>
                <w:color w:val="auto"/>
              </w:rPr>
            </w:pPr>
            <w:r>
              <w:rPr>
                <w:rFonts w:ascii="Arial" w:cs="Arial" w:eastAsia="Arial" w:hAnsi="Arial"/>
                <w:sz w:val="12"/>
                <w:szCs w:val="12"/>
                <w:color w:val="auto"/>
              </w:rPr>
              <w:t>794,989</w:t>
            </w:r>
          </w:p>
        </w:tc>
        <w:tc>
          <w:tcPr>
            <w:tcW w:w="88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276,665</w:t>
            </w:r>
          </w:p>
        </w:tc>
        <w:tc>
          <w:tcPr>
            <w:tcW w:w="1280" w:type="dxa"/>
            <w:vAlign w:val="bottom"/>
            <w:vMerge w:val="restart"/>
            <w:shd w:val="clear" w:color="auto" w:fill="DFE4EA"/>
          </w:tcPr>
          <w:p>
            <w:pPr>
              <w:ind w:left="108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DFE4EA"/>
          </w:tcPr>
          <w:p>
            <w:pPr>
              <w:jc w:val="right"/>
              <w:ind w:right="79"/>
              <w:spacing w:after="0"/>
              <w:rPr>
                <w:sz w:val="20"/>
                <w:szCs w:val="20"/>
                <w:color w:val="auto"/>
              </w:rPr>
            </w:pPr>
            <w:r>
              <w:rPr>
                <w:rFonts w:ascii="Arial" w:cs="Arial" w:eastAsia="Arial" w:hAnsi="Arial"/>
                <w:sz w:val="12"/>
                <w:szCs w:val="12"/>
                <w:color w:val="auto"/>
              </w:rPr>
              <w:t>18,120</w:t>
            </w:r>
          </w:p>
        </w:tc>
        <w:tc>
          <w:tcPr>
            <w:tcW w:w="70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1,515,413</w:t>
            </w:r>
          </w:p>
        </w:tc>
        <w:tc>
          <w:tcPr>
            <w:tcW w:w="0" w:type="dxa"/>
            <w:vAlign w:val="bottom"/>
          </w:tcPr>
          <w:p>
            <w:pPr>
              <w:spacing w:after="0"/>
              <w:rPr>
                <w:sz w:val="1"/>
                <w:szCs w:val="1"/>
                <w:color w:val="auto"/>
              </w:rPr>
            </w:pPr>
          </w:p>
        </w:tc>
      </w:tr>
      <w:tr>
        <w:trPr>
          <w:trHeight w:val="139"/>
        </w:trPr>
        <w:tc>
          <w:tcPr>
            <w:tcW w:w="1600" w:type="dxa"/>
            <w:vAlign w:val="bottom"/>
            <w:shd w:val="clear" w:color="auto" w:fill="DFE4EA"/>
          </w:tcPr>
          <w:p>
            <w:pPr>
              <w:spacing w:after="0"/>
              <w:rPr>
                <w:sz w:val="20"/>
                <w:szCs w:val="20"/>
                <w:color w:val="auto"/>
              </w:rPr>
            </w:pPr>
            <w:r>
              <w:rPr>
                <w:rFonts w:ascii="Arial" w:cs="Arial" w:eastAsia="Arial" w:hAnsi="Arial"/>
                <w:sz w:val="12"/>
                <w:szCs w:val="12"/>
                <w:color w:val="auto"/>
              </w:rPr>
              <w:t>General Counsel, Corporate</w:t>
            </w:r>
          </w:p>
        </w:tc>
        <w:tc>
          <w:tcPr>
            <w:tcW w:w="600" w:type="dxa"/>
            <w:vAlign w:val="bottom"/>
            <w:vMerge w:val="continue"/>
            <w:shd w:val="clear" w:color="auto" w:fill="DFE4EA"/>
          </w:tcPr>
          <w:p>
            <w:pPr>
              <w:spacing w:after="0"/>
              <w:rPr>
                <w:sz w:val="12"/>
                <w:szCs w:val="12"/>
                <w:color w:val="auto"/>
              </w:rPr>
            </w:pPr>
          </w:p>
        </w:tc>
        <w:tc>
          <w:tcPr>
            <w:tcW w:w="900" w:type="dxa"/>
            <w:vAlign w:val="bottom"/>
            <w:vMerge w:val="continue"/>
            <w:shd w:val="clear" w:color="auto" w:fill="DFE4EA"/>
          </w:tcPr>
          <w:p>
            <w:pPr>
              <w:spacing w:after="0"/>
              <w:rPr>
                <w:sz w:val="12"/>
                <w:szCs w:val="12"/>
                <w:color w:val="auto"/>
              </w:rPr>
            </w:pPr>
          </w:p>
        </w:tc>
        <w:tc>
          <w:tcPr>
            <w:tcW w:w="960" w:type="dxa"/>
            <w:vAlign w:val="bottom"/>
            <w:vMerge w:val="continue"/>
            <w:shd w:val="clear" w:color="auto" w:fill="DFE4EA"/>
          </w:tcPr>
          <w:p>
            <w:pPr>
              <w:spacing w:after="0"/>
              <w:rPr>
                <w:sz w:val="12"/>
                <w:szCs w:val="12"/>
                <w:color w:val="auto"/>
              </w:rPr>
            </w:pPr>
          </w:p>
        </w:tc>
        <w:tc>
          <w:tcPr>
            <w:tcW w:w="980" w:type="dxa"/>
            <w:vAlign w:val="bottom"/>
            <w:vMerge w:val="continue"/>
            <w:shd w:val="clear" w:color="auto" w:fill="DFE4EA"/>
          </w:tcPr>
          <w:p>
            <w:pPr>
              <w:spacing w:after="0"/>
              <w:rPr>
                <w:sz w:val="12"/>
                <w:szCs w:val="12"/>
                <w:color w:val="auto"/>
              </w:rPr>
            </w:pPr>
          </w:p>
        </w:tc>
        <w:tc>
          <w:tcPr>
            <w:tcW w:w="880" w:type="dxa"/>
            <w:vAlign w:val="bottom"/>
            <w:vMerge w:val="continue"/>
            <w:shd w:val="clear" w:color="auto" w:fill="DFE4EA"/>
          </w:tcPr>
          <w:p>
            <w:pPr>
              <w:spacing w:after="0"/>
              <w:rPr>
                <w:sz w:val="12"/>
                <w:szCs w:val="12"/>
                <w:color w:val="auto"/>
              </w:rPr>
            </w:pPr>
          </w:p>
        </w:tc>
        <w:tc>
          <w:tcPr>
            <w:tcW w:w="1220" w:type="dxa"/>
            <w:vAlign w:val="bottom"/>
            <w:vMerge w:val="continue"/>
            <w:shd w:val="clear" w:color="auto" w:fill="DFE4EA"/>
          </w:tcPr>
          <w:p>
            <w:pPr>
              <w:spacing w:after="0"/>
              <w:rPr>
                <w:sz w:val="12"/>
                <w:szCs w:val="12"/>
                <w:color w:val="auto"/>
              </w:rPr>
            </w:pPr>
          </w:p>
        </w:tc>
        <w:tc>
          <w:tcPr>
            <w:tcW w:w="1280" w:type="dxa"/>
            <w:vAlign w:val="bottom"/>
            <w:vMerge w:val="continue"/>
            <w:shd w:val="clear" w:color="auto" w:fill="DFE4EA"/>
          </w:tcPr>
          <w:p>
            <w:pPr>
              <w:spacing w:after="0"/>
              <w:rPr>
                <w:sz w:val="12"/>
                <w:szCs w:val="12"/>
                <w:color w:val="auto"/>
              </w:rPr>
            </w:pPr>
          </w:p>
        </w:tc>
        <w:tc>
          <w:tcPr>
            <w:tcW w:w="880" w:type="dxa"/>
            <w:vAlign w:val="bottom"/>
            <w:vMerge w:val="continue"/>
            <w:shd w:val="clear" w:color="auto" w:fill="DFE4EA"/>
          </w:tcPr>
          <w:p>
            <w:pPr>
              <w:spacing w:after="0"/>
              <w:rPr>
                <w:sz w:val="12"/>
                <w:szCs w:val="12"/>
                <w:color w:val="auto"/>
              </w:rPr>
            </w:pPr>
          </w:p>
        </w:tc>
        <w:tc>
          <w:tcPr>
            <w:tcW w:w="700" w:type="dxa"/>
            <w:vAlign w:val="bottom"/>
            <w:vMerge w:val="continue"/>
            <w:shd w:val="clear" w:color="auto" w:fill="DFE4EA"/>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shd w:val="clear" w:color="auto" w:fill="DFE4EA"/>
          </w:tcPr>
          <w:p>
            <w:pPr>
              <w:spacing w:after="0"/>
              <w:rPr>
                <w:sz w:val="20"/>
                <w:szCs w:val="20"/>
                <w:color w:val="auto"/>
              </w:rPr>
            </w:pPr>
            <w:r>
              <w:rPr>
                <w:rFonts w:ascii="Arial" w:cs="Arial" w:eastAsia="Arial" w:hAnsi="Arial"/>
                <w:sz w:val="12"/>
                <w:szCs w:val="12"/>
                <w:color w:val="auto"/>
              </w:rPr>
              <w:t>Secretary, and Chief</w:t>
            </w:r>
          </w:p>
        </w:tc>
        <w:tc>
          <w:tcPr>
            <w:tcW w:w="6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2023</w:t>
            </w:r>
          </w:p>
        </w:tc>
        <w:tc>
          <w:tcPr>
            <w:tcW w:w="9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411,245</w:t>
            </w:r>
          </w:p>
        </w:tc>
        <w:tc>
          <w:tcPr>
            <w:tcW w:w="960" w:type="dxa"/>
            <w:vAlign w:val="bottom"/>
            <w:vMerge w:val="restart"/>
            <w:shd w:val="clear" w:color="auto" w:fill="DFE4EA"/>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FE4EA"/>
          </w:tcPr>
          <w:p>
            <w:pPr>
              <w:jc w:val="right"/>
              <w:ind w:right="19"/>
              <w:spacing w:after="0"/>
              <w:rPr>
                <w:sz w:val="20"/>
                <w:szCs w:val="20"/>
                <w:color w:val="auto"/>
              </w:rPr>
            </w:pPr>
            <w:r>
              <w:rPr>
                <w:rFonts w:ascii="Arial" w:cs="Arial" w:eastAsia="Arial" w:hAnsi="Arial"/>
                <w:sz w:val="12"/>
                <w:szCs w:val="12"/>
                <w:color w:val="auto"/>
              </w:rPr>
              <w:t>152,289</w:t>
            </w:r>
          </w:p>
        </w:tc>
        <w:tc>
          <w:tcPr>
            <w:tcW w:w="88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411,245</w:t>
            </w:r>
          </w:p>
        </w:tc>
        <w:tc>
          <w:tcPr>
            <w:tcW w:w="1280" w:type="dxa"/>
            <w:vAlign w:val="bottom"/>
            <w:vMerge w:val="restart"/>
            <w:shd w:val="clear" w:color="auto" w:fill="DFE4EA"/>
          </w:tcPr>
          <w:p>
            <w:pPr>
              <w:ind w:left="108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DFE4EA"/>
          </w:tcPr>
          <w:p>
            <w:pPr>
              <w:jc w:val="right"/>
              <w:ind w:right="79"/>
              <w:spacing w:after="0"/>
              <w:rPr>
                <w:sz w:val="20"/>
                <w:szCs w:val="20"/>
                <w:color w:val="auto"/>
              </w:rPr>
            </w:pPr>
            <w:r>
              <w:rPr>
                <w:rFonts w:ascii="Arial" w:cs="Arial" w:eastAsia="Arial" w:hAnsi="Arial"/>
                <w:sz w:val="12"/>
                <w:szCs w:val="12"/>
                <w:color w:val="auto"/>
              </w:rPr>
              <w:t>18,940</w:t>
            </w:r>
          </w:p>
        </w:tc>
        <w:tc>
          <w:tcPr>
            <w:tcW w:w="70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993,719</w:t>
            </w:r>
          </w:p>
        </w:tc>
        <w:tc>
          <w:tcPr>
            <w:tcW w:w="0" w:type="dxa"/>
            <w:vAlign w:val="bottom"/>
          </w:tcPr>
          <w:p>
            <w:pPr>
              <w:spacing w:after="0"/>
              <w:rPr>
                <w:sz w:val="1"/>
                <w:szCs w:val="1"/>
                <w:color w:val="auto"/>
              </w:rPr>
            </w:pPr>
          </w:p>
        </w:tc>
      </w:tr>
      <w:tr>
        <w:trPr>
          <w:trHeight w:val="94"/>
        </w:trPr>
        <w:tc>
          <w:tcPr>
            <w:tcW w:w="1600" w:type="dxa"/>
            <w:vAlign w:val="bottom"/>
            <w:vMerge w:val="restart"/>
            <w:shd w:val="clear" w:color="auto" w:fill="DFE4EA"/>
          </w:tcPr>
          <w:p>
            <w:pPr>
              <w:spacing w:after="0"/>
              <w:rPr>
                <w:sz w:val="20"/>
                <w:szCs w:val="20"/>
                <w:color w:val="auto"/>
              </w:rPr>
            </w:pPr>
            <w:r>
              <w:rPr>
                <w:rFonts w:ascii="Arial" w:cs="Arial" w:eastAsia="Arial" w:hAnsi="Arial"/>
                <w:sz w:val="12"/>
                <w:szCs w:val="12"/>
                <w:color w:val="auto"/>
              </w:rPr>
              <w:t>Compliance Officer</w:t>
            </w:r>
          </w:p>
        </w:tc>
        <w:tc>
          <w:tcPr>
            <w:tcW w:w="600" w:type="dxa"/>
            <w:vAlign w:val="bottom"/>
            <w:vMerge w:val="continue"/>
            <w:shd w:val="clear" w:color="auto" w:fill="DFE4EA"/>
          </w:tcPr>
          <w:p>
            <w:pPr>
              <w:spacing w:after="0"/>
              <w:rPr>
                <w:sz w:val="8"/>
                <w:szCs w:val="8"/>
                <w:color w:val="auto"/>
              </w:rPr>
            </w:pPr>
          </w:p>
        </w:tc>
        <w:tc>
          <w:tcPr>
            <w:tcW w:w="900" w:type="dxa"/>
            <w:vAlign w:val="bottom"/>
            <w:vMerge w:val="continue"/>
            <w:shd w:val="clear" w:color="auto" w:fill="DFE4EA"/>
          </w:tcPr>
          <w:p>
            <w:pPr>
              <w:spacing w:after="0"/>
              <w:rPr>
                <w:sz w:val="8"/>
                <w:szCs w:val="8"/>
                <w:color w:val="auto"/>
              </w:rPr>
            </w:pPr>
          </w:p>
        </w:tc>
        <w:tc>
          <w:tcPr>
            <w:tcW w:w="960" w:type="dxa"/>
            <w:vAlign w:val="bottom"/>
            <w:vMerge w:val="continue"/>
            <w:shd w:val="clear" w:color="auto" w:fill="DFE4EA"/>
          </w:tcPr>
          <w:p>
            <w:pPr>
              <w:spacing w:after="0"/>
              <w:rPr>
                <w:sz w:val="8"/>
                <w:szCs w:val="8"/>
                <w:color w:val="auto"/>
              </w:rPr>
            </w:pPr>
          </w:p>
        </w:tc>
        <w:tc>
          <w:tcPr>
            <w:tcW w:w="980" w:type="dxa"/>
            <w:vAlign w:val="bottom"/>
            <w:vMerge w:val="continue"/>
            <w:shd w:val="clear" w:color="auto" w:fill="DFE4EA"/>
          </w:tcPr>
          <w:p>
            <w:pPr>
              <w:spacing w:after="0"/>
              <w:rPr>
                <w:sz w:val="8"/>
                <w:szCs w:val="8"/>
                <w:color w:val="auto"/>
              </w:rPr>
            </w:pPr>
          </w:p>
        </w:tc>
        <w:tc>
          <w:tcPr>
            <w:tcW w:w="880" w:type="dxa"/>
            <w:vAlign w:val="bottom"/>
            <w:vMerge w:val="continue"/>
            <w:shd w:val="clear" w:color="auto" w:fill="DFE4EA"/>
          </w:tcPr>
          <w:p>
            <w:pPr>
              <w:spacing w:after="0"/>
              <w:rPr>
                <w:sz w:val="8"/>
                <w:szCs w:val="8"/>
                <w:color w:val="auto"/>
              </w:rPr>
            </w:pPr>
          </w:p>
        </w:tc>
        <w:tc>
          <w:tcPr>
            <w:tcW w:w="1220" w:type="dxa"/>
            <w:vAlign w:val="bottom"/>
            <w:vMerge w:val="continue"/>
            <w:shd w:val="clear" w:color="auto" w:fill="DFE4EA"/>
          </w:tcPr>
          <w:p>
            <w:pPr>
              <w:spacing w:after="0"/>
              <w:rPr>
                <w:sz w:val="8"/>
                <w:szCs w:val="8"/>
                <w:color w:val="auto"/>
              </w:rPr>
            </w:pPr>
          </w:p>
        </w:tc>
        <w:tc>
          <w:tcPr>
            <w:tcW w:w="1280" w:type="dxa"/>
            <w:vAlign w:val="bottom"/>
            <w:vMerge w:val="continue"/>
            <w:shd w:val="clear" w:color="auto" w:fill="DFE4EA"/>
          </w:tcPr>
          <w:p>
            <w:pPr>
              <w:spacing w:after="0"/>
              <w:rPr>
                <w:sz w:val="8"/>
                <w:szCs w:val="8"/>
                <w:color w:val="auto"/>
              </w:rPr>
            </w:pPr>
          </w:p>
        </w:tc>
        <w:tc>
          <w:tcPr>
            <w:tcW w:w="880" w:type="dxa"/>
            <w:vAlign w:val="bottom"/>
            <w:vMerge w:val="continue"/>
            <w:shd w:val="clear" w:color="auto" w:fill="DFE4EA"/>
          </w:tcPr>
          <w:p>
            <w:pPr>
              <w:spacing w:after="0"/>
              <w:rPr>
                <w:sz w:val="8"/>
                <w:szCs w:val="8"/>
                <w:color w:val="auto"/>
              </w:rPr>
            </w:pPr>
          </w:p>
        </w:tc>
        <w:tc>
          <w:tcPr>
            <w:tcW w:w="700" w:type="dxa"/>
            <w:vAlign w:val="bottom"/>
            <w:vMerge w:val="continue"/>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600" w:type="dxa"/>
            <w:vAlign w:val="bottom"/>
            <w:vMerge w:val="continue"/>
            <w:shd w:val="clear" w:color="auto" w:fill="DFE4EA"/>
          </w:tcPr>
          <w:p>
            <w:pPr>
              <w:spacing w:after="0"/>
              <w:rPr>
                <w:sz w:val="6"/>
                <w:szCs w:val="6"/>
                <w:color w:val="auto"/>
              </w:rPr>
            </w:pPr>
          </w:p>
        </w:tc>
        <w:tc>
          <w:tcPr>
            <w:tcW w:w="600" w:type="dxa"/>
            <w:vAlign w:val="bottom"/>
            <w:shd w:val="clear" w:color="auto" w:fill="DFE4EA"/>
          </w:tcPr>
          <w:p>
            <w:pPr>
              <w:spacing w:after="0"/>
              <w:rPr>
                <w:sz w:val="6"/>
                <w:szCs w:val="6"/>
                <w:color w:val="auto"/>
              </w:rPr>
            </w:pPr>
          </w:p>
        </w:tc>
        <w:tc>
          <w:tcPr>
            <w:tcW w:w="900" w:type="dxa"/>
            <w:vAlign w:val="bottom"/>
            <w:shd w:val="clear" w:color="auto" w:fill="DFE4EA"/>
          </w:tcPr>
          <w:p>
            <w:pPr>
              <w:spacing w:after="0"/>
              <w:rPr>
                <w:sz w:val="6"/>
                <w:szCs w:val="6"/>
                <w:color w:val="auto"/>
              </w:rPr>
            </w:pPr>
          </w:p>
        </w:tc>
        <w:tc>
          <w:tcPr>
            <w:tcW w:w="960" w:type="dxa"/>
            <w:vAlign w:val="bottom"/>
            <w:shd w:val="clear" w:color="auto" w:fill="DFE4EA"/>
          </w:tcPr>
          <w:p>
            <w:pPr>
              <w:spacing w:after="0"/>
              <w:rPr>
                <w:sz w:val="6"/>
                <w:szCs w:val="6"/>
                <w:color w:val="auto"/>
              </w:rPr>
            </w:pPr>
          </w:p>
        </w:tc>
        <w:tc>
          <w:tcPr>
            <w:tcW w:w="980" w:type="dxa"/>
            <w:vAlign w:val="bottom"/>
            <w:shd w:val="clear" w:color="auto" w:fill="DFE4EA"/>
          </w:tcPr>
          <w:p>
            <w:pPr>
              <w:spacing w:after="0"/>
              <w:rPr>
                <w:sz w:val="6"/>
                <w:szCs w:val="6"/>
                <w:color w:val="auto"/>
              </w:rPr>
            </w:pPr>
          </w:p>
        </w:tc>
        <w:tc>
          <w:tcPr>
            <w:tcW w:w="880" w:type="dxa"/>
            <w:vAlign w:val="bottom"/>
            <w:shd w:val="clear" w:color="auto" w:fill="DFE4EA"/>
          </w:tcPr>
          <w:p>
            <w:pPr>
              <w:spacing w:after="0"/>
              <w:rPr>
                <w:sz w:val="6"/>
                <w:szCs w:val="6"/>
                <w:color w:val="auto"/>
              </w:rPr>
            </w:pPr>
          </w:p>
        </w:tc>
        <w:tc>
          <w:tcPr>
            <w:tcW w:w="1220" w:type="dxa"/>
            <w:vAlign w:val="bottom"/>
            <w:shd w:val="clear" w:color="auto" w:fill="DFE4EA"/>
          </w:tcPr>
          <w:p>
            <w:pPr>
              <w:spacing w:after="0"/>
              <w:rPr>
                <w:sz w:val="6"/>
                <w:szCs w:val="6"/>
                <w:color w:val="auto"/>
              </w:rPr>
            </w:pPr>
          </w:p>
        </w:tc>
        <w:tc>
          <w:tcPr>
            <w:tcW w:w="1280" w:type="dxa"/>
            <w:vAlign w:val="bottom"/>
            <w:shd w:val="clear" w:color="auto" w:fill="DFE4EA"/>
          </w:tcPr>
          <w:p>
            <w:pPr>
              <w:spacing w:after="0"/>
              <w:rPr>
                <w:sz w:val="6"/>
                <w:szCs w:val="6"/>
                <w:color w:val="auto"/>
              </w:rPr>
            </w:pPr>
          </w:p>
        </w:tc>
        <w:tc>
          <w:tcPr>
            <w:tcW w:w="880" w:type="dxa"/>
            <w:vAlign w:val="bottom"/>
            <w:shd w:val="clear" w:color="auto" w:fill="DFE4EA"/>
          </w:tcPr>
          <w:p>
            <w:pPr>
              <w:spacing w:after="0"/>
              <w:rPr>
                <w:sz w:val="6"/>
                <w:szCs w:val="6"/>
                <w:color w:val="auto"/>
              </w:rPr>
            </w:pPr>
          </w:p>
        </w:tc>
        <w:tc>
          <w:tcPr>
            <w:tcW w:w="700" w:type="dxa"/>
            <w:vAlign w:val="bottom"/>
            <w:shd w:val="clear" w:color="auto" w:fill="DFE4EA"/>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600" w:type="dxa"/>
            <w:vAlign w:val="bottom"/>
          </w:tcPr>
          <w:p>
            <w:pPr>
              <w:spacing w:after="0"/>
              <w:rPr>
                <w:sz w:val="20"/>
                <w:szCs w:val="20"/>
                <w:color w:val="auto"/>
              </w:rPr>
            </w:pPr>
            <w:r>
              <w:rPr>
                <w:rFonts w:ascii="Arial" w:cs="Arial" w:eastAsia="Arial" w:hAnsi="Arial"/>
                <w:sz w:val="12"/>
                <w:szCs w:val="12"/>
                <w:color w:val="auto"/>
              </w:rPr>
              <w:t>John E. Davis, Senior Vice</w:t>
            </w:r>
          </w:p>
        </w:tc>
        <w:tc>
          <w:tcPr>
            <w:tcW w:w="600" w:type="dxa"/>
            <w:vAlign w:val="bottom"/>
          </w:tcPr>
          <w:p>
            <w:pPr>
              <w:jc w:val="center"/>
              <w:spacing w:after="0"/>
              <w:rPr>
                <w:sz w:val="20"/>
                <w:szCs w:val="20"/>
                <w:color w:val="auto"/>
              </w:rPr>
            </w:pPr>
            <w:r>
              <w:rPr>
                <w:rFonts w:ascii="Arial" w:cs="Arial" w:eastAsia="Arial" w:hAnsi="Arial"/>
                <w:sz w:val="12"/>
                <w:szCs w:val="12"/>
                <w:color w:val="auto"/>
              </w:rPr>
              <w:t>2025</w:t>
            </w:r>
          </w:p>
        </w:tc>
        <w:tc>
          <w:tcPr>
            <w:tcW w:w="900" w:type="dxa"/>
            <w:vAlign w:val="bottom"/>
          </w:tcPr>
          <w:p>
            <w:pPr>
              <w:jc w:val="center"/>
              <w:spacing w:after="0"/>
              <w:rPr>
                <w:sz w:val="20"/>
                <w:szCs w:val="20"/>
                <w:color w:val="auto"/>
              </w:rPr>
            </w:pPr>
            <w:r>
              <w:rPr>
                <w:rFonts w:ascii="Arial" w:cs="Arial" w:eastAsia="Arial" w:hAnsi="Arial"/>
                <w:sz w:val="12"/>
                <w:szCs w:val="12"/>
                <w:color w:val="auto"/>
              </w:rPr>
              <w:t>441,095</w:t>
            </w:r>
          </w:p>
        </w:tc>
        <w:tc>
          <w:tcPr>
            <w:tcW w:w="9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9"/>
              <w:spacing w:after="0"/>
              <w:rPr>
                <w:sz w:val="20"/>
                <w:szCs w:val="20"/>
                <w:color w:val="auto"/>
              </w:rPr>
            </w:pPr>
            <w:r>
              <w:rPr>
                <w:rFonts w:ascii="Arial" w:cs="Arial" w:eastAsia="Arial" w:hAnsi="Arial"/>
                <w:sz w:val="12"/>
                <w:szCs w:val="12"/>
                <w:color w:val="auto"/>
              </w:rPr>
              <w:t>1,234,977</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261,803</w:t>
            </w:r>
          </w:p>
        </w:tc>
        <w:tc>
          <w:tcPr>
            <w:tcW w:w="1280" w:type="dxa"/>
            <w:vAlign w:val="bottom"/>
          </w:tcPr>
          <w:p>
            <w:pPr>
              <w:ind w:left="108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20,172</w:t>
            </w:r>
          </w:p>
        </w:tc>
        <w:tc>
          <w:tcPr>
            <w:tcW w:w="700" w:type="dxa"/>
            <w:vAlign w:val="bottom"/>
          </w:tcPr>
          <w:p>
            <w:pPr>
              <w:jc w:val="right"/>
              <w:spacing w:after="0"/>
              <w:rPr>
                <w:sz w:val="20"/>
                <w:szCs w:val="20"/>
                <w:color w:val="auto"/>
              </w:rPr>
            </w:pPr>
            <w:r>
              <w:rPr>
                <w:rFonts w:ascii="Arial" w:cs="Arial" w:eastAsia="Arial" w:hAnsi="Arial"/>
                <w:sz w:val="12"/>
                <w:szCs w:val="12"/>
                <w:color w:val="auto"/>
              </w:rPr>
              <w:t>1,958,047</w:t>
            </w:r>
          </w:p>
        </w:tc>
        <w:tc>
          <w:tcPr>
            <w:tcW w:w="0" w:type="dxa"/>
            <w:vAlign w:val="bottom"/>
          </w:tcPr>
          <w:p>
            <w:pPr>
              <w:spacing w:after="0"/>
              <w:rPr>
                <w:sz w:val="1"/>
                <w:szCs w:val="1"/>
                <w:color w:val="auto"/>
              </w:rPr>
            </w:pPr>
          </w:p>
        </w:tc>
      </w:tr>
      <w:tr>
        <w:trPr>
          <w:trHeight w:val="139"/>
        </w:trPr>
        <w:tc>
          <w:tcPr>
            <w:tcW w:w="1600" w:type="dxa"/>
            <w:vAlign w:val="bottom"/>
          </w:tcPr>
          <w:p>
            <w:pPr>
              <w:spacing w:after="0"/>
              <w:rPr>
                <w:sz w:val="20"/>
                <w:szCs w:val="20"/>
                <w:color w:val="auto"/>
              </w:rPr>
            </w:pPr>
            <w:r>
              <w:rPr>
                <w:rFonts w:ascii="Arial" w:cs="Arial" w:eastAsia="Arial" w:hAnsi="Arial"/>
                <w:sz w:val="12"/>
                <w:szCs w:val="12"/>
                <w:color w:val="auto"/>
              </w:rPr>
              <w:t>President, Chief Commercial</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rPr>
              <w:t>2024</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rPr>
              <w:t>406,855</w:t>
            </w:r>
          </w:p>
        </w:tc>
        <w:tc>
          <w:tcPr>
            <w:tcW w:w="96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ind w:right="19"/>
              <w:spacing w:after="0"/>
              <w:rPr>
                <w:sz w:val="20"/>
                <w:szCs w:val="20"/>
                <w:color w:val="auto"/>
              </w:rPr>
            </w:pPr>
            <w:r>
              <w:rPr>
                <w:rFonts w:ascii="Arial" w:cs="Arial" w:eastAsia="Arial" w:hAnsi="Arial"/>
                <w:sz w:val="12"/>
                <w:szCs w:val="12"/>
                <w:color w:val="auto"/>
              </w:rPr>
              <w:t>800,016</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264,456</w:t>
            </w:r>
          </w:p>
        </w:tc>
        <w:tc>
          <w:tcPr>
            <w:tcW w:w="1280" w:type="dxa"/>
            <w:vAlign w:val="bottom"/>
            <w:vMerge w:val="restart"/>
          </w:tcPr>
          <w:p>
            <w:pPr>
              <w:ind w:left="1080"/>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79"/>
              <w:spacing w:after="0"/>
              <w:rPr>
                <w:sz w:val="20"/>
                <w:szCs w:val="20"/>
                <w:color w:val="auto"/>
              </w:rPr>
            </w:pPr>
            <w:r>
              <w:rPr>
                <w:rFonts w:ascii="Arial" w:cs="Arial" w:eastAsia="Arial" w:hAnsi="Arial"/>
                <w:sz w:val="12"/>
                <w:szCs w:val="12"/>
                <w:color w:val="auto"/>
              </w:rPr>
              <w:t>20,155</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1,491,482</w:t>
            </w:r>
          </w:p>
        </w:tc>
        <w:tc>
          <w:tcPr>
            <w:tcW w:w="0" w:type="dxa"/>
            <w:vAlign w:val="bottom"/>
          </w:tcPr>
          <w:p>
            <w:pPr>
              <w:spacing w:after="0"/>
              <w:rPr>
                <w:sz w:val="1"/>
                <w:szCs w:val="1"/>
                <w:color w:val="auto"/>
              </w:rPr>
            </w:pPr>
          </w:p>
        </w:tc>
      </w:tr>
      <w:tr>
        <w:trPr>
          <w:trHeight w:val="71"/>
        </w:trPr>
        <w:tc>
          <w:tcPr>
            <w:tcW w:w="1600" w:type="dxa"/>
            <w:vAlign w:val="bottom"/>
            <w:vMerge w:val="restart"/>
          </w:tcPr>
          <w:p>
            <w:pPr>
              <w:spacing w:after="0"/>
              <w:rPr>
                <w:sz w:val="20"/>
                <w:szCs w:val="20"/>
                <w:color w:val="auto"/>
              </w:rPr>
            </w:pPr>
            <w:r>
              <w:rPr>
                <w:rFonts w:ascii="Arial" w:cs="Arial" w:eastAsia="Arial" w:hAnsi="Arial"/>
                <w:sz w:val="12"/>
                <w:szCs w:val="12"/>
                <w:color w:val="auto"/>
              </w:rPr>
              <w:t>Officer</w:t>
            </w:r>
          </w:p>
        </w:tc>
        <w:tc>
          <w:tcPr>
            <w:tcW w:w="6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600" w:type="dxa"/>
            <w:vAlign w:val="bottom"/>
            <w:vMerge w:val="continue"/>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rPr>
              <w:t>2023</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rPr>
              <w:t>391,207</w:t>
            </w:r>
          </w:p>
        </w:tc>
        <w:tc>
          <w:tcPr>
            <w:tcW w:w="96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ind w:right="19"/>
              <w:spacing w:after="0"/>
              <w:rPr>
                <w:sz w:val="20"/>
                <w:szCs w:val="20"/>
                <w:color w:val="auto"/>
              </w:rPr>
            </w:pPr>
            <w:r>
              <w:rPr>
                <w:rFonts w:ascii="Arial" w:cs="Arial" w:eastAsia="Arial" w:hAnsi="Arial"/>
                <w:sz w:val="12"/>
                <w:szCs w:val="12"/>
                <w:color w:val="auto"/>
              </w:rPr>
              <w:t>151,388</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391,207</w:t>
            </w:r>
          </w:p>
        </w:tc>
        <w:tc>
          <w:tcPr>
            <w:tcW w:w="1280" w:type="dxa"/>
            <w:vAlign w:val="bottom"/>
            <w:vMerge w:val="restart"/>
          </w:tcPr>
          <w:p>
            <w:pPr>
              <w:ind w:left="1080"/>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79"/>
              <w:spacing w:after="0"/>
              <w:rPr>
                <w:sz w:val="20"/>
                <w:szCs w:val="20"/>
                <w:color w:val="auto"/>
              </w:rPr>
            </w:pPr>
            <w:r>
              <w:rPr>
                <w:rFonts w:ascii="Arial" w:cs="Arial" w:eastAsia="Arial" w:hAnsi="Arial"/>
                <w:sz w:val="12"/>
                <w:szCs w:val="12"/>
                <w:color w:val="auto"/>
              </w:rPr>
              <w:t>19,603</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953,405</w:t>
            </w:r>
          </w:p>
        </w:tc>
        <w:tc>
          <w:tcPr>
            <w:tcW w:w="0" w:type="dxa"/>
            <w:vAlign w:val="bottom"/>
          </w:tcPr>
          <w:p>
            <w:pPr>
              <w:spacing w:after="0"/>
              <w:rPr>
                <w:sz w:val="1"/>
                <w:szCs w:val="1"/>
                <w:color w:val="auto"/>
              </w:rPr>
            </w:pPr>
          </w:p>
        </w:tc>
      </w:tr>
      <w:tr>
        <w:trPr>
          <w:trHeight w:val="96"/>
        </w:trPr>
        <w:tc>
          <w:tcPr>
            <w:tcW w:w="16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600" w:type="dxa"/>
            <w:vAlign w:val="bottom"/>
            <w:shd w:val="clear" w:color="auto" w:fill="DFE4EA"/>
          </w:tcPr>
          <w:p>
            <w:pPr>
              <w:spacing w:after="0"/>
              <w:rPr>
                <w:sz w:val="20"/>
                <w:szCs w:val="20"/>
                <w:color w:val="auto"/>
              </w:rPr>
            </w:pPr>
            <w:r>
              <w:rPr>
                <w:rFonts w:ascii="Arial" w:cs="Arial" w:eastAsia="Arial" w:hAnsi="Arial"/>
                <w:sz w:val="12"/>
                <w:szCs w:val="12"/>
                <w:color w:val="auto"/>
              </w:rPr>
              <w:t>Marshall S. Stanton, Senior</w:t>
            </w:r>
          </w:p>
        </w:tc>
        <w:tc>
          <w:tcPr>
            <w:tcW w:w="600" w:type="dxa"/>
            <w:vAlign w:val="bottom"/>
            <w:shd w:val="clear" w:color="auto" w:fill="DFE4EA"/>
          </w:tcPr>
          <w:p>
            <w:pPr>
              <w:jc w:val="center"/>
              <w:spacing w:after="0"/>
              <w:rPr>
                <w:sz w:val="20"/>
                <w:szCs w:val="20"/>
                <w:color w:val="auto"/>
              </w:rPr>
            </w:pPr>
            <w:r>
              <w:rPr>
                <w:rFonts w:ascii="Arial" w:cs="Arial" w:eastAsia="Arial" w:hAnsi="Arial"/>
                <w:sz w:val="12"/>
                <w:szCs w:val="12"/>
                <w:color w:val="auto"/>
              </w:rPr>
              <w:t>2025</w:t>
            </w:r>
          </w:p>
        </w:tc>
        <w:tc>
          <w:tcPr>
            <w:tcW w:w="900" w:type="dxa"/>
            <w:vAlign w:val="bottom"/>
            <w:shd w:val="clear" w:color="auto" w:fill="DFE4EA"/>
          </w:tcPr>
          <w:p>
            <w:pPr>
              <w:jc w:val="center"/>
              <w:spacing w:after="0"/>
              <w:rPr>
                <w:sz w:val="20"/>
                <w:szCs w:val="20"/>
                <w:color w:val="auto"/>
              </w:rPr>
            </w:pPr>
            <w:r>
              <w:rPr>
                <w:rFonts w:ascii="Arial" w:cs="Arial" w:eastAsia="Arial" w:hAnsi="Arial"/>
                <w:sz w:val="12"/>
                <w:szCs w:val="12"/>
                <w:color w:val="auto"/>
              </w:rPr>
              <w:t>443,929</w:t>
            </w:r>
          </w:p>
        </w:tc>
        <w:tc>
          <w:tcPr>
            <w:tcW w:w="960" w:type="dxa"/>
            <w:vAlign w:val="bottom"/>
            <w:shd w:val="clear" w:color="auto" w:fill="DFE4EA"/>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shd w:val="clear" w:color="auto" w:fill="DFE4EA"/>
          </w:tcPr>
          <w:p>
            <w:pPr>
              <w:jc w:val="right"/>
              <w:ind w:right="19"/>
              <w:spacing w:after="0"/>
              <w:rPr>
                <w:sz w:val="20"/>
                <w:szCs w:val="20"/>
                <w:color w:val="auto"/>
              </w:rPr>
            </w:pPr>
            <w:r>
              <w:rPr>
                <w:rFonts w:ascii="Arial" w:cs="Arial" w:eastAsia="Arial" w:hAnsi="Arial"/>
                <w:sz w:val="12"/>
                <w:szCs w:val="12"/>
                <w:color w:val="auto"/>
              </w:rPr>
              <w:t>934,986</w:t>
            </w:r>
          </w:p>
        </w:tc>
        <w:tc>
          <w:tcPr>
            <w:tcW w:w="880" w:type="dxa"/>
            <w:vAlign w:val="bottom"/>
            <w:shd w:val="clear" w:color="auto" w:fill="DFE4EA"/>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DFE4EA"/>
          </w:tcPr>
          <w:p>
            <w:pPr>
              <w:jc w:val="right"/>
              <w:spacing w:after="0"/>
              <w:rPr>
                <w:sz w:val="20"/>
                <w:szCs w:val="20"/>
                <w:color w:val="auto"/>
              </w:rPr>
            </w:pPr>
            <w:r>
              <w:rPr>
                <w:rFonts w:ascii="Arial" w:cs="Arial" w:eastAsia="Arial" w:hAnsi="Arial"/>
                <w:sz w:val="12"/>
                <w:szCs w:val="12"/>
                <w:color w:val="auto"/>
              </w:rPr>
              <w:t>263,485</w:t>
            </w:r>
          </w:p>
        </w:tc>
        <w:tc>
          <w:tcPr>
            <w:tcW w:w="1280" w:type="dxa"/>
            <w:vAlign w:val="bottom"/>
            <w:shd w:val="clear" w:color="auto" w:fill="DFE4EA"/>
          </w:tcPr>
          <w:p>
            <w:pPr>
              <w:ind w:left="1080"/>
              <w:spacing w:after="0"/>
              <w:rPr>
                <w:sz w:val="20"/>
                <w:szCs w:val="20"/>
                <w:color w:val="auto"/>
              </w:rPr>
            </w:pPr>
            <w:r>
              <w:rPr>
                <w:rFonts w:ascii="Arial" w:cs="Arial" w:eastAsia="Arial" w:hAnsi="Arial"/>
                <w:sz w:val="12"/>
                <w:szCs w:val="12"/>
                <w:color w:val="auto"/>
              </w:rPr>
              <w:t>—</w:t>
            </w:r>
          </w:p>
        </w:tc>
        <w:tc>
          <w:tcPr>
            <w:tcW w:w="880" w:type="dxa"/>
            <w:vAlign w:val="bottom"/>
            <w:shd w:val="clear" w:color="auto" w:fill="DFE4EA"/>
          </w:tcPr>
          <w:p>
            <w:pPr>
              <w:jc w:val="right"/>
              <w:ind w:right="79"/>
              <w:spacing w:after="0"/>
              <w:rPr>
                <w:sz w:val="20"/>
                <w:szCs w:val="20"/>
                <w:color w:val="auto"/>
              </w:rPr>
            </w:pPr>
            <w:r>
              <w:rPr>
                <w:rFonts w:ascii="Arial" w:cs="Arial" w:eastAsia="Arial" w:hAnsi="Arial"/>
                <w:sz w:val="12"/>
                <w:szCs w:val="12"/>
                <w:color w:val="auto"/>
              </w:rPr>
              <w:t>17,993</w:t>
            </w: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1,660,393</w:t>
            </w:r>
          </w:p>
        </w:tc>
        <w:tc>
          <w:tcPr>
            <w:tcW w:w="0" w:type="dxa"/>
            <w:vAlign w:val="bottom"/>
          </w:tcPr>
          <w:p>
            <w:pPr>
              <w:spacing w:after="0"/>
              <w:rPr>
                <w:sz w:val="1"/>
                <w:szCs w:val="1"/>
                <w:color w:val="auto"/>
              </w:rPr>
            </w:pPr>
          </w:p>
        </w:tc>
      </w:tr>
      <w:tr>
        <w:trPr>
          <w:trHeight w:val="139"/>
        </w:trPr>
        <w:tc>
          <w:tcPr>
            <w:tcW w:w="1600" w:type="dxa"/>
            <w:vAlign w:val="bottom"/>
            <w:shd w:val="clear" w:color="auto" w:fill="DFE4EA"/>
          </w:tcPr>
          <w:p>
            <w:pPr>
              <w:spacing w:after="0"/>
              <w:rPr>
                <w:sz w:val="20"/>
                <w:szCs w:val="20"/>
                <w:color w:val="auto"/>
              </w:rPr>
            </w:pPr>
            <w:r>
              <w:rPr>
                <w:rFonts w:ascii="Arial" w:cs="Arial" w:eastAsia="Arial" w:hAnsi="Arial"/>
                <w:sz w:val="12"/>
                <w:szCs w:val="12"/>
                <w:color w:val="auto"/>
              </w:rPr>
              <w:t>Vice President, Clinical</w:t>
            </w:r>
          </w:p>
        </w:tc>
        <w:tc>
          <w:tcPr>
            <w:tcW w:w="6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2024</w:t>
            </w:r>
          </w:p>
        </w:tc>
        <w:tc>
          <w:tcPr>
            <w:tcW w:w="9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409,593</w:t>
            </w:r>
          </w:p>
        </w:tc>
        <w:tc>
          <w:tcPr>
            <w:tcW w:w="960" w:type="dxa"/>
            <w:vAlign w:val="bottom"/>
            <w:vMerge w:val="restart"/>
            <w:shd w:val="clear" w:color="auto" w:fill="DFE4EA"/>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FE4EA"/>
          </w:tcPr>
          <w:p>
            <w:pPr>
              <w:jc w:val="right"/>
              <w:ind w:right="19"/>
              <w:spacing w:after="0"/>
              <w:rPr>
                <w:sz w:val="20"/>
                <w:szCs w:val="20"/>
                <w:color w:val="auto"/>
              </w:rPr>
            </w:pPr>
            <w:r>
              <w:rPr>
                <w:rFonts w:ascii="Arial" w:cs="Arial" w:eastAsia="Arial" w:hAnsi="Arial"/>
                <w:sz w:val="12"/>
                <w:szCs w:val="12"/>
                <w:color w:val="auto"/>
              </w:rPr>
              <w:t>599,992</w:t>
            </w:r>
          </w:p>
        </w:tc>
        <w:tc>
          <w:tcPr>
            <w:tcW w:w="88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266,235</w:t>
            </w:r>
          </w:p>
        </w:tc>
        <w:tc>
          <w:tcPr>
            <w:tcW w:w="1280" w:type="dxa"/>
            <w:vAlign w:val="bottom"/>
            <w:vMerge w:val="restart"/>
            <w:shd w:val="clear" w:color="auto" w:fill="DFE4EA"/>
          </w:tcPr>
          <w:p>
            <w:pPr>
              <w:ind w:left="108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DFE4EA"/>
          </w:tcPr>
          <w:p>
            <w:pPr>
              <w:jc w:val="right"/>
              <w:ind w:right="79"/>
              <w:spacing w:after="0"/>
              <w:rPr>
                <w:sz w:val="20"/>
                <w:szCs w:val="20"/>
                <w:color w:val="auto"/>
              </w:rPr>
            </w:pPr>
            <w:r>
              <w:rPr>
                <w:rFonts w:ascii="Arial" w:cs="Arial" w:eastAsia="Arial" w:hAnsi="Arial"/>
                <w:sz w:val="12"/>
                <w:szCs w:val="12"/>
                <w:color w:val="auto"/>
              </w:rPr>
              <w:t>17,793</w:t>
            </w:r>
          </w:p>
        </w:tc>
        <w:tc>
          <w:tcPr>
            <w:tcW w:w="70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1,293,613</w:t>
            </w:r>
          </w:p>
        </w:tc>
        <w:tc>
          <w:tcPr>
            <w:tcW w:w="0" w:type="dxa"/>
            <w:vAlign w:val="bottom"/>
          </w:tcPr>
          <w:p>
            <w:pPr>
              <w:spacing w:after="0"/>
              <w:rPr>
                <w:sz w:val="1"/>
                <w:szCs w:val="1"/>
                <w:color w:val="auto"/>
              </w:rPr>
            </w:pPr>
          </w:p>
        </w:tc>
      </w:tr>
      <w:tr>
        <w:trPr>
          <w:trHeight w:val="83"/>
        </w:trPr>
        <w:tc>
          <w:tcPr>
            <w:tcW w:w="1600" w:type="dxa"/>
            <w:vAlign w:val="bottom"/>
            <w:vMerge w:val="restart"/>
            <w:shd w:val="clear" w:color="auto" w:fill="DFE4EA"/>
          </w:tcPr>
          <w:p>
            <w:pPr>
              <w:spacing w:after="0"/>
              <w:rPr>
                <w:sz w:val="20"/>
                <w:szCs w:val="20"/>
                <w:color w:val="auto"/>
              </w:rPr>
            </w:pPr>
            <w:r>
              <w:rPr>
                <w:rFonts w:ascii="Arial" w:cs="Arial" w:eastAsia="Arial" w:hAnsi="Arial"/>
                <w:sz w:val="12"/>
                <w:szCs w:val="12"/>
                <w:color w:val="auto"/>
              </w:rPr>
              <w:t>Research and Chief Medical</w:t>
            </w:r>
          </w:p>
        </w:tc>
        <w:tc>
          <w:tcPr>
            <w:tcW w:w="600" w:type="dxa"/>
            <w:vAlign w:val="bottom"/>
            <w:vMerge w:val="continue"/>
            <w:shd w:val="clear" w:color="auto" w:fill="DFE4EA"/>
          </w:tcPr>
          <w:p>
            <w:pPr>
              <w:spacing w:after="0"/>
              <w:rPr>
                <w:sz w:val="7"/>
                <w:szCs w:val="7"/>
                <w:color w:val="auto"/>
              </w:rPr>
            </w:pPr>
          </w:p>
        </w:tc>
        <w:tc>
          <w:tcPr>
            <w:tcW w:w="900" w:type="dxa"/>
            <w:vAlign w:val="bottom"/>
            <w:vMerge w:val="continue"/>
            <w:shd w:val="clear" w:color="auto" w:fill="DFE4EA"/>
          </w:tcPr>
          <w:p>
            <w:pPr>
              <w:spacing w:after="0"/>
              <w:rPr>
                <w:sz w:val="7"/>
                <w:szCs w:val="7"/>
                <w:color w:val="auto"/>
              </w:rPr>
            </w:pPr>
          </w:p>
        </w:tc>
        <w:tc>
          <w:tcPr>
            <w:tcW w:w="960" w:type="dxa"/>
            <w:vAlign w:val="bottom"/>
            <w:vMerge w:val="continue"/>
            <w:shd w:val="clear" w:color="auto" w:fill="DFE4EA"/>
          </w:tcPr>
          <w:p>
            <w:pPr>
              <w:spacing w:after="0"/>
              <w:rPr>
                <w:sz w:val="7"/>
                <w:szCs w:val="7"/>
                <w:color w:val="auto"/>
              </w:rPr>
            </w:pPr>
          </w:p>
        </w:tc>
        <w:tc>
          <w:tcPr>
            <w:tcW w:w="980" w:type="dxa"/>
            <w:vAlign w:val="bottom"/>
            <w:vMerge w:val="continue"/>
            <w:shd w:val="clear" w:color="auto" w:fill="DFE4EA"/>
          </w:tcPr>
          <w:p>
            <w:pPr>
              <w:spacing w:after="0"/>
              <w:rPr>
                <w:sz w:val="7"/>
                <w:szCs w:val="7"/>
                <w:color w:val="auto"/>
              </w:rPr>
            </w:pPr>
          </w:p>
        </w:tc>
        <w:tc>
          <w:tcPr>
            <w:tcW w:w="880" w:type="dxa"/>
            <w:vAlign w:val="bottom"/>
            <w:vMerge w:val="continue"/>
            <w:shd w:val="clear" w:color="auto" w:fill="DFE4EA"/>
          </w:tcPr>
          <w:p>
            <w:pPr>
              <w:spacing w:after="0"/>
              <w:rPr>
                <w:sz w:val="7"/>
                <w:szCs w:val="7"/>
                <w:color w:val="auto"/>
              </w:rPr>
            </w:pPr>
          </w:p>
        </w:tc>
        <w:tc>
          <w:tcPr>
            <w:tcW w:w="1220" w:type="dxa"/>
            <w:vAlign w:val="bottom"/>
            <w:vMerge w:val="continue"/>
            <w:shd w:val="clear" w:color="auto" w:fill="DFE4EA"/>
          </w:tcPr>
          <w:p>
            <w:pPr>
              <w:spacing w:after="0"/>
              <w:rPr>
                <w:sz w:val="7"/>
                <w:szCs w:val="7"/>
                <w:color w:val="auto"/>
              </w:rPr>
            </w:pPr>
          </w:p>
        </w:tc>
        <w:tc>
          <w:tcPr>
            <w:tcW w:w="1280" w:type="dxa"/>
            <w:vAlign w:val="bottom"/>
            <w:vMerge w:val="continue"/>
            <w:shd w:val="clear" w:color="auto" w:fill="DFE4EA"/>
          </w:tcPr>
          <w:p>
            <w:pPr>
              <w:spacing w:after="0"/>
              <w:rPr>
                <w:sz w:val="7"/>
                <w:szCs w:val="7"/>
                <w:color w:val="auto"/>
              </w:rPr>
            </w:pPr>
          </w:p>
        </w:tc>
        <w:tc>
          <w:tcPr>
            <w:tcW w:w="880" w:type="dxa"/>
            <w:vAlign w:val="bottom"/>
            <w:vMerge w:val="continue"/>
            <w:shd w:val="clear" w:color="auto" w:fill="DFE4EA"/>
          </w:tcPr>
          <w:p>
            <w:pPr>
              <w:spacing w:after="0"/>
              <w:rPr>
                <w:sz w:val="7"/>
                <w:szCs w:val="7"/>
                <w:color w:val="auto"/>
              </w:rPr>
            </w:pPr>
          </w:p>
        </w:tc>
        <w:tc>
          <w:tcPr>
            <w:tcW w:w="700" w:type="dxa"/>
            <w:vAlign w:val="bottom"/>
            <w:vMerge w:val="continue"/>
            <w:shd w:val="clear" w:color="auto" w:fill="DFE4EA"/>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600" w:type="dxa"/>
            <w:vAlign w:val="bottom"/>
            <w:vMerge w:val="continue"/>
            <w:shd w:val="clear" w:color="auto" w:fill="DFE4EA"/>
          </w:tcPr>
          <w:p>
            <w:pPr>
              <w:spacing w:after="0"/>
              <w:rPr>
                <w:sz w:val="4"/>
                <w:szCs w:val="4"/>
                <w:color w:val="auto"/>
              </w:rPr>
            </w:pPr>
          </w:p>
        </w:tc>
        <w:tc>
          <w:tcPr>
            <w:tcW w:w="6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2023</w:t>
            </w:r>
          </w:p>
        </w:tc>
        <w:tc>
          <w:tcPr>
            <w:tcW w:w="900" w:type="dxa"/>
            <w:vAlign w:val="bottom"/>
            <w:vMerge w:val="restart"/>
            <w:shd w:val="clear" w:color="auto" w:fill="DFE4EA"/>
          </w:tcPr>
          <w:p>
            <w:pPr>
              <w:jc w:val="center"/>
              <w:spacing w:after="0"/>
              <w:rPr>
                <w:sz w:val="20"/>
                <w:szCs w:val="20"/>
                <w:color w:val="auto"/>
              </w:rPr>
            </w:pPr>
            <w:r>
              <w:rPr>
                <w:rFonts w:ascii="Arial" w:cs="Arial" w:eastAsia="Arial" w:hAnsi="Arial"/>
                <w:sz w:val="12"/>
                <w:szCs w:val="12"/>
                <w:color w:val="auto"/>
              </w:rPr>
              <w:t>395,742</w:t>
            </w:r>
          </w:p>
        </w:tc>
        <w:tc>
          <w:tcPr>
            <w:tcW w:w="960" w:type="dxa"/>
            <w:vAlign w:val="bottom"/>
            <w:vMerge w:val="restart"/>
            <w:shd w:val="clear" w:color="auto" w:fill="DFE4EA"/>
          </w:tcPr>
          <w:p>
            <w:pPr>
              <w:jc w:val="right"/>
              <w:ind w:right="39"/>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FE4EA"/>
          </w:tcPr>
          <w:p>
            <w:pPr>
              <w:jc w:val="right"/>
              <w:ind w:right="19"/>
              <w:spacing w:after="0"/>
              <w:rPr>
                <w:sz w:val="20"/>
                <w:szCs w:val="20"/>
                <w:color w:val="auto"/>
              </w:rPr>
            </w:pPr>
            <w:r>
              <w:rPr>
                <w:rFonts w:ascii="Arial" w:cs="Arial" w:eastAsia="Arial" w:hAnsi="Arial"/>
                <w:sz w:val="12"/>
                <w:szCs w:val="12"/>
                <w:color w:val="auto"/>
              </w:rPr>
              <w:t>132,465</w:t>
            </w:r>
          </w:p>
        </w:tc>
        <w:tc>
          <w:tcPr>
            <w:tcW w:w="88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395,742</w:t>
            </w:r>
          </w:p>
        </w:tc>
        <w:tc>
          <w:tcPr>
            <w:tcW w:w="1280" w:type="dxa"/>
            <w:vAlign w:val="bottom"/>
            <w:vMerge w:val="restart"/>
            <w:shd w:val="clear" w:color="auto" w:fill="DFE4EA"/>
          </w:tcPr>
          <w:p>
            <w:pPr>
              <w:ind w:left="108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DFE4EA"/>
          </w:tcPr>
          <w:p>
            <w:pPr>
              <w:jc w:val="right"/>
              <w:ind w:right="79"/>
              <w:spacing w:after="0"/>
              <w:rPr>
                <w:sz w:val="20"/>
                <w:szCs w:val="20"/>
                <w:color w:val="auto"/>
              </w:rPr>
            </w:pPr>
            <w:r>
              <w:rPr>
                <w:rFonts w:ascii="Arial" w:cs="Arial" w:eastAsia="Arial" w:hAnsi="Arial"/>
                <w:sz w:val="12"/>
                <w:szCs w:val="12"/>
                <w:color w:val="auto"/>
              </w:rPr>
              <w:t>18,051</w:t>
            </w:r>
          </w:p>
        </w:tc>
        <w:tc>
          <w:tcPr>
            <w:tcW w:w="700" w:type="dxa"/>
            <w:vAlign w:val="bottom"/>
            <w:vMerge w:val="restart"/>
            <w:shd w:val="clear" w:color="auto" w:fill="DFE4EA"/>
          </w:tcPr>
          <w:p>
            <w:pPr>
              <w:jc w:val="right"/>
              <w:spacing w:after="0"/>
              <w:rPr>
                <w:sz w:val="20"/>
                <w:szCs w:val="20"/>
                <w:color w:val="auto"/>
              </w:rPr>
            </w:pPr>
            <w:r>
              <w:rPr>
                <w:rFonts w:ascii="Arial" w:cs="Arial" w:eastAsia="Arial" w:hAnsi="Arial"/>
                <w:sz w:val="12"/>
                <w:szCs w:val="12"/>
                <w:color w:val="auto"/>
              </w:rPr>
              <w:t>942,000</w:t>
            </w:r>
          </w:p>
        </w:tc>
        <w:tc>
          <w:tcPr>
            <w:tcW w:w="0" w:type="dxa"/>
            <w:vAlign w:val="bottom"/>
          </w:tcPr>
          <w:p>
            <w:pPr>
              <w:spacing w:after="0"/>
              <w:rPr>
                <w:sz w:val="1"/>
                <w:szCs w:val="1"/>
                <w:color w:val="auto"/>
              </w:rPr>
            </w:pPr>
          </w:p>
        </w:tc>
      </w:tr>
      <w:tr>
        <w:trPr>
          <w:trHeight w:val="170"/>
        </w:trPr>
        <w:tc>
          <w:tcPr>
            <w:tcW w:w="1600" w:type="dxa"/>
            <w:vAlign w:val="bottom"/>
            <w:shd w:val="clear" w:color="auto" w:fill="DFE4EA"/>
          </w:tcPr>
          <w:p>
            <w:pPr>
              <w:spacing w:after="0"/>
              <w:rPr>
                <w:sz w:val="20"/>
                <w:szCs w:val="20"/>
                <w:color w:val="auto"/>
              </w:rPr>
            </w:pPr>
            <w:r>
              <w:rPr>
                <w:rFonts w:ascii="Arial" w:cs="Arial" w:eastAsia="Arial" w:hAnsi="Arial"/>
                <w:sz w:val="12"/>
                <w:szCs w:val="12"/>
                <w:color w:val="auto"/>
              </w:rPr>
              <w:t>Officer</w:t>
            </w:r>
          </w:p>
        </w:tc>
        <w:tc>
          <w:tcPr>
            <w:tcW w:w="600" w:type="dxa"/>
            <w:vAlign w:val="bottom"/>
            <w:vMerge w:val="continue"/>
            <w:shd w:val="clear" w:color="auto" w:fill="DFE4EA"/>
          </w:tcPr>
          <w:p>
            <w:pPr>
              <w:spacing w:after="0"/>
              <w:rPr>
                <w:sz w:val="14"/>
                <w:szCs w:val="14"/>
                <w:color w:val="auto"/>
              </w:rPr>
            </w:pPr>
          </w:p>
        </w:tc>
        <w:tc>
          <w:tcPr>
            <w:tcW w:w="900" w:type="dxa"/>
            <w:vAlign w:val="bottom"/>
            <w:vMerge w:val="continue"/>
            <w:shd w:val="clear" w:color="auto" w:fill="DFE4EA"/>
          </w:tcPr>
          <w:p>
            <w:pPr>
              <w:spacing w:after="0"/>
              <w:rPr>
                <w:sz w:val="14"/>
                <w:szCs w:val="14"/>
                <w:color w:val="auto"/>
              </w:rPr>
            </w:pPr>
          </w:p>
        </w:tc>
        <w:tc>
          <w:tcPr>
            <w:tcW w:w="960" w:type="dxa"/>
            <w:vAlign w:val="bottom"/>
            <w:vMerge w:val="continue"/>
            <w:shd w:val="clear" w:color="auto" w:fill="DFE4EA"/>
          </w:tcPr>
          <w:p>
            <w:pPr>
              <w:spacing w:after="0"/>
              <w:rPr>
                <w:sz w:val="14"/>
                <w:szCs w:val="14"/>
                <w:color w:val="auto"/>
              </w:rPr>
            </w:pPr>
          </w:p>
        </w:tc>
        <w:tc>
          <w:tcPr>
            <w:tcW w:w="980" w:type="dxa"/>
            <w:vAlign w:val="bottom"/>
            <w:vMerge w:val="continue"/>
            <w:shd w:val="clear" w:color="auto" w:fill="DFE4EA"/>
          </w:tcPr>
          <w:p>
            <w:pPr>
              <w:spacing w:after="0"/>
              <w:rPr>
                <w:sz w:val="14"/>
                <w:szCs w:val="14"/>
                <w:color w:val="auto"/>
              </w:rPr>
            </w:pPr>
          </w:p>
        </w:tc>
        <w:tc>
          <w:tcPr>
            <w:tcW w:w="880" w:type="dxa"/>
            <w:vAlign w:val="bottom"/>
            <w:vMerge w:val="continue"/>
            <w:shd w:val="clear" w:color="auto" w:fill="DFE4EA"/>
          </w:tcPr>
          <w:p>
            <w:pPr>
              <w:spacing w:after="0"/>
              <w:rPr>
                <w:sz w:val="14"/>
                <w:szCs w:val="14"/>
                <w:color w:val="auto"/>
              </w:rPr>
            </w:pPr>
          </w:p>
        </w:tc>
        <w:tc>
          <w:tcPr>
            <w:tcW w:w="1220" w:type="dxa"/>
            <w:vAlign w:val="bottom"/>
            <w:vMerge w:val="continue"/>
            <w:shd w:val="clear" w:color="auto" w:fill="DFE4EA"/>
          </w:tcPr>
          <w:p>
            <w:pPr>
              <w:spacing w:after="0"/>
              <w:rPr>
                <w:sz w:val="14"/>
                <w:szCs w:val="14"/>
                <w:color w:val="auto"/>
              </w:rPr>
            </w:pPr>
          </w:p>
        </w:tc>
        <w:tc>
          <w:tcPr>
            <w:tcW w:w="1280" w:type="dxa"/>
            <w:vAlign w:val="bottom"/>
            <w:vMerge w:val="continue"/>
            <w:shd w:val="clear" w:color="auto" w:fill="DFE4EA"/>
          </w:tcPr>
          <w:p>
            <w:pPr>
              <w:spacing w:after="0"/>
              <w:rPr>
                <w:sz w:val="14"/>
                <w:szCs w:val="14"/>
                <w:color w:val="auto"/>
              </w:rPr>
            </w:pPr>
          </w:p>
        </w:tc>
        <w:tc>
          <w:tcPr>
            <w:tcW w:w="880" w:type="dxa"/>
            <w:vAlign w:val="bottom"/>
            <w:vMerge w:val="continue"/>
            <w:shd w:val="clear" w:color="auto" w:fill="DFE4EA"/>
          </w:tcPr>
          <w:p>
            <w:pPr>
              <w:spacing w:after="0"/>
              <w:rPr>
                <w:sz w:val="14"/>
                <w:szCs w:val="14"/>
                <w:color w:val="auto"/>
              </w:rPr>
            </w:pPr>
          </w:p>
        </w:tc>
        <w:tc>
          <w:tcPr>
            <w:tcW w:w="700" w:type="dxa"/>
            <w:vAlign w:val="bottom"/>
            <w:vMerge w:val="continue"/>
            <w:shd w:val="clear" w:color="auto" w:fill="DFE4EA"/>
          </w:tcPr>
          <w:p>
            <w:pPr>
              <w:spacing w:after="0"/>
              <w:rPr>
                <w:sz w:val="14"/>
                <w:szCs w:val="1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220" w:hanging="219"/>
        <w:spacing w:after="0" w:line="223" w:lineRule="auto"/>
        <w:tabs>
          <w:tab w:leader="none" w:pos="22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For 2025, amount represents the base salary as approved in February 2025, other than Mr. Berry, who was appointed to, in addition to his existing roles as Executive Vice President, Chief Financial Officer (CFO) and Treasurer, the role of Chief Operating Officer (COO) as of August 11, 2025, and whose base salary was prorated accordingly. For 2024, amount represents the base salary as approved in February 2024. For 2023, amount represents the base salary as approved in February 2023, other than Mr. Berry, whose base salary for 2023 was approved in November 2023 and was prorated based on the term of his employment.</w:t>
      </w:r>
    </w:p>
    <w:p>
      <w:pPr>
        <w:spacing w:after="0" w:line="37" w:lineRule="exact"/>
        <w:rPr>
          <w:rFonts w:ascii="Arial" w:cs="Arial" w:eastAsia="Arial" w:hAnsi="Arial"/>
          <w:sz w:val="22"/>
          <w:szCs w:val="22"/>
          <w:color w:val="auto"/>
          <w:vertAlign w:val="superscript"/>
        </w:rPr>
      </w:pPr>
    </w:p>
    <w:p>
      <w:pPr>
        <w:ind w:left="220" w:hanging="219"/>
        <w:spacing w:after="0"/>
        <w:tabs>
          <w:tab w:leader="none" w:pos="22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For 2023, Mr. Berry received a sign-on bonus of $100,000.</w:t>
      </w:r>
    </w:p>
    <w:p>
      <w:pPr>
        <w:spacing w:after="0" w:line="117" w:lineRule="exact"/>
        <w:rPr>
          <w:rFonts w:ascii="Arial" w:cs="Arial" w:eastAsia="Arial" w:hAnsi="Arial"/>
          <w:sz w:val="22"/>
          <w:szCs w:val="22"/>
          <w:color w:val="auto"/>
          <w:vertAlign w:val="superscript"/>
        </w:rPr>
      </w:pPr>
    </w:p>
    <w:p>
      <w:pPr>
        <w:jc w:val="both"/>
        <w:ind w:left="220" w:hanging="219"/>
        <w:spacing w:after="0" w:line="223" w:lineRule="auto"/>
        <w:tabs>
          <w:tab w:leader="none" w:pos="22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Amount reflects the aggregate grant date fair value of restricted stock and performance stock unit awards as calculated in accordance with FASB ASC Topic 718, disregarding the estimate of forfeitures. See Notes 1 and 14 of the Notes to Consolidated Financial Statements filed with Artivion’s Annual Report on Form 10-K for the year ended December 31, 2025, for assumptions we used in valuing these awards. The annual PSU awards paid out at 118.7% of target. If the 2025 PSUs were awarded at maximum payouts, it would change the stock awards to the following amounts: for Mr. Mackin $7,510,485; for Mr. Berry $2,834,978; for Ms. Holloway $1,785,002; for Mr. Davis $1,852,465; and for Mr. Stanton $1,402,479.</w:t>
      </w:r>
    </w:p>
    <w:p>
      <w:pPr>
        <w:spacing w:after="0" w:line="117"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Amount reflects the aggregate grant date fair value of stock option awards as calculated in accordance with FASB ASC Topic 718, disregarding the estimate of forfeitures. See Notes 1 and 14 of the Notes to Consolidated Financial Statements filed with Artivion’s Annual Report on Form 10-K for the year ended December 31, 2025, for assumptions we used in valuing the stock option awards. For 2023, Mr. Berry’s option award was part of his one-time, new-hire grant.</w:t>
      </w:r>
    </w:p>
    <w:p>
      <w:pPr>
        <w:spacing w:after="0" w:line="106"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For 2025 and 2024, the amounts represent the revenue and adjusted EBITDA performance components of the awards earned pursuant to the applicable short-term incentive plan. For 2023, the amounts represent the revenue performance components of the awards earned pursuant to the applicable short-term incentive plan.</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44" w:name="page45"/>
    <w:bookmarkEnd w:id="44"/>
    <w:p>
      <w:pPr>
        <w:jc w:val="both"/>
        <w:ind w:left="220" w:hanging="219"/>
        <w:spacing w:after="0" w:line="218" w:lineRule="auto"/>
        <w:tabs>
          <w:tab w:leader="none" w:pos="22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Amounts include matching contributions and true-ups under the Company’s 401(k) plan, reimbursement of airline club and other club membership dues, and disability insurance premiums for NEOs. Fiscal 2023 amounts include for Mr. Mackin, an $18,000 auto allowance. Fiscal 2024 amounts also include, for Mr. Mackin, an $18,000 auto allowance, and for Mr. Berry, $131,740 to assist with his relocation. Fiscal 2025 amounts also include, for Mr. Mackin, an $18,000 auto allowance, and for Mr. Berry, $58,836 to assist with his relocation.</w:t>
      </w:r>
    </w:p>
    <w:p>
      <w:pPr>
        <w:spacing w:after="0" w:line="108"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For 2025, the amounts reported reflect Mr. Berry’s August 11, 2025, appointment to, in addition to his existing roles as Executive Vice President, Chief Financial Officer (CFO) and Treasurer, the role of Chief Operating Officer (COO). In connection with this appointment, and in recognition of the expanded scope of his role, Mr. Berry’s 2025 base salary was increased to $540,000, prorated, his percent-of-salary target for his 2025 cash bonus was increased to 70%, and he was granted an additional off-cycle equity grant of $210,000 in addition to his $1,750,000 equity grant in February 2025.</w:t>
      </w:r>
    </w:p>
    <w:p>
      <w:pPr>
        <w:sectPr>
          <w:pgSz w:w="11900" w:h="16838" w:orient="portrait"/>
          <w:cols w:equalWidth="0" w:num="1">
            <w:col w:w="10020"/>
          </w:cols>
          <w:pgMar w:left="980" w:top="89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93" w:right="8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9"/>
          <w:szCs w:val="19"/>
          <w:b w:val="1"/>
          <w:bCs w:val="1"/>
          <w:color w:val="2B4B74"/>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rPr>
              <w:t>Estimated Possible Payouts</w:t>
            </w:r>
          </w:p>
        </w:tc>
        <w:tc>
          <w:tcPr>
            <w:tcW w:w="21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rPr>
              <w:t>Estimated Future Payouts</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58"/>
        </w:trPr>
        <w:tc>
          <w:tcPr>
            <w:tcW w:w="1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70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rPr>
              <w:t>Stock</w:t>
            </w:r>
          </w:p>
        </w:tc>
        <w:tc>
          <w:tcPr>
            <w:tcW w:w="74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rPr>
              <w:t>Awards:</w:t>
            </w:r>
          </w:p>
        </w:tc>
        <w:tc>
          <w:tcPr>
            <w:tcW w:w="62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rPr>
              <w:t>Exercise</w:t>
            </w:r>
          </w:p>
        </w:tc>
        <w:tc>
          <w:tcPr>
            <w:tcW w:w="70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rPr>
              <w:t>Closing</w:t>
            </w: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0" w:type="dxa"/>
            <w:vAlign w:val="bottom"/>
            <w:gridSpan w:val="3"/>
            <w:vMerge w:val="restart"/>
          </w:tcPr>
          <w:p>
            <w:pPr>
              <w:jc w:val="center"/>
              <w:spacing w:after="0" w:line="136" w:lineRule="exact"/>
              <w:rPr>
                <w:sz w:val="20"/>
                <w:szCs w:val="20"/>
                <w:color w:val="auto"/>
              </w:rPr>
            </w:pPr>
            <w:r>
              <w:rPr>
                <w:rFonts w:ascii="Arial" w:cs="Arial" w:eastAsia="Arial" w:hAnsi="Arial"/>
                <w:sz w:val="12"/>
                <w:szCs w:val="12"/>
                <w:b w:val="1"/>
                <w:bCs w:val="1"/>
                <w:color w:val="auto"/>
              </w:rPr>
              <w:t>Under Non-Equity Incentive</w:t>
            </w:r>
          </w:p>
        </w:tc>
        <w:tc>
          <w:tcPr>
            <w:tcW w:w="2100" w:type="dxa"/>
            <w:vAlign w:val="bottom"/>
            <w:gridSpan w:val="3"/>
            <w:vMerge w:val="restart"/>
          </w:tcPr>
          <w:p>
            <w:pPr>
              <w:jc w:val="center"/>
              <w:spacing w:after="0" w:line="136" w:lineRule="exact"/>
              <w:rPr>
                <w:sz w:val="20"/>
                <w:szCs w:val="20"/>
                <w:color w:val="auto"/>
              </w:rPr>
            </w:pPr>
            <w:r>
              <w:rPr>
                <w:rFonts w:ascii="Arial" w:cs="Arial" w:eastAsia="Arial" w:hAnsi="Arial"/>
                <w:sz w:val="12"/>
                <w:szCs w:val="12"/>
                <w:b w:val="1"/>
                <w:bCs w:val="1"/>
                <w:color w:val="auto"/>
              </w:rPr>
              <w:t>Under Equity Incentive Plan</w:t>
            </w: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Awards:</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Number of</w:t>
            </w: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or Base</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Market</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center"/>
              <w:ind w:left="580"/>
              <w:spacing w:after="0" w:line="13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6"/>
                <w:szCs w:val="16"/>
                <w:b w:val="1"/>
                <w:bCs w:val="1"/>
                <w:color w:val="auto"/>
                <w:vertAlign w:val="superscript"/>
              </w:rPr>
              <w:t>(1)</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ind w:right="60"/>
              <w:spacing w:after="0"/>
              <w:rPr>
                <w:sz w:val="20"/>
                <w:szCs w:val="20"/>
                <w:color w:val="auto"/>
              </w:rPr>
            </w:pPr>
            <w:r>
              <w:rPr>
                <w:rFonts w:ascii="Arial" w:cs="Arial" w:eastAsia="Arial" w:hAnsi="Arial"/>
                <w:sz w:val="12"/>
                <w:szCs w:val="12"/>
                <w:b w:val="1"/>
                <w:bCs w:val="1"/>
                <w:color w:val="auto"/>
              </w:rPr>
              <w:t>Awards</w:t>
            </w:r>
          </w:p>
        </w:tc>
        <w:tc>
          <w:tcPr>
            <w:tcW w:w="7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vMerge w:val="restart"/>
          </w:tcPr>
          <w:p>
            <w:pPr>
              <w:jc w:val="center"/>
              <w:spacing w:after="0" w:line="74" w:lineRule="exact"/>
              <w:rPr>
                <w:sz w:val="20"/>
                <w:szCs w:val="20"/>
                <w:color w:val="auto"/>
              </w:rPr>
            </w:pPr>
            <w:r>
              <w:rPr>
                <w:rFonts w:ascii="Arial" w:cs="Arial" w:eastAsia="Arial" w:hAnsi="Arial"/>
                <w:sz w:val="8"/>
                <w:szCs w:val="8"/>
                <w:b w:val="1"/>
                <w:bCs w:val="1"/>
                <w:color w:val="auto"/>
              </w:rPr>
              <w:t>Number of</w:t>
            </w:r>
          </w:p>
        </w:tc>
        <w:tc>
          <w:tcPr>
            <w:tcW w:w="740" w:type="dxa"/>
            <w:vAlign w:val="bottom"/>
            <w:vMerge w:val="restart"/>
          </w:tcPr>
          <w:p>
            <w:pPr>
              <w:jc w:val="center"/>
              <w:spacing w:after="0" w:line="74" w:lineRule="exact"/>
              <w:rPr>
                <w:sz w:val="20"/>
                <w:szCs w:val="20"/>
                <w:color w:val="auto"/>
              </w:rPr>
            </w:pPr>
            <w:r>
              <w:rPr>
                <w:rFonts w:ascii="Arial" w:cs="Arial" w:eastAsia="Arial" w:hAnsi="Arial"/>
                <w:sz w:val="8"/>
                <w:szCs w:val="8"/>
                <w:b w:val="1"/>
                <w:bCs w:val="1"/>
                <w:color w:val="auto"/>
              </w:rPr>
              <w:t>Securities</w:t>
            </w:r>
          </w:p>
        </w:tc>
        <w:tc>
          <w:tcPr>
            <w:tcW w:w="620" w:type="dxa"/>
            <w:vAlign w:val="bottom"/>
            <w:vMerge w:val="restart"/>
          </w:tcPr>
          <w:p>
            <w:pPr>
              <w:jc w:val="center"/>
              <w:spacing w:after="0" w:line="74" w:lineRule="exact"/>
              <w:rPr>
                <w:sz w:val="20"/>
                <w:szCs w:val="20"/>
                <w:color w:val="auto"/>
              </w:rPr>
            </w:pPr>
            <w:r>
              <w:rPr>
                <w:rFonts w:ascii="Arial" w:cs="Arial" w:eastAsia="Arial" w:hAnsi="Arial"/>
                <w:sz w:val="8"/>
                <w:szCs w:val="8"/>
                <w:b w:val="1"/>
                <w:bCs w:val="1"/>
                <w:color w:val="auto"/>
              </w:rPr>
              <w:t>Price of</w:t>
            </w:r>
          </w:p>
        </w:tc>
        <w:tc>
          <w:tcPr>
            <w:tcW w:w="700" w:type="dxa"/>
            <w:vAlign w:val="bottom"/>
            <w:vMerge w:val="restart"/>
          </w:tcPr>
          <w:p>
            <w:pPr>
              <w:jc w:val="center"/>
              <w:spacing w:after="0" w:line="74" w:lineRule="exact"/>
              <w:rPr>
                <w:sz w:val="20"/>
                <w:szCs w:val="20"/>
                <w:color w:val="auto"/>
              </w:rPr>
            </w:pPr>
            <w:r>
              <w:rPr>
                <w:rFonts w:ascii="Arial" w:cs="Arial" w:eastAsia="Arial" w:hAnsi="Arial"/>
                <w:sz w:val="8"/>
                <w:szCs w:val="8"/>
                <w:b w:val="1"/>
                <w:bCs w:val="1"/>
                <w:color w:val="auto"/>
              </w:rPr>
              <w:t>Price on</w:t>
            </w:r>
          </w:p>
        </w:tc>
        <w:tc>
          <w:tcPr>
            <w:tcW w:w="660" w:type="dxa"/>
            <w:vAlign w:val="bottom"/>
            <w:vMerge w:val="restart"/>
          </w:tcPr>
          <w:p>
            <w:pPr>
              <w:jc w:val="center"/>
              <w:spacing w:after="0" w:line="74" w:lineRule="exact"/>
              <w:rPr>
                <w:sz w:val="20"/>
                <w:szCs w:val="20"/>
                <w:color w:val="auto"/>
              </w:rPr>
            </w:pPr>
            <w:r>
              <w:rPr>
                <w:rFonts w:ascii="Arial" w:cs="Arial" w:eastAsia="Arial" w:hAnsi="Arial"/>
                <w:sz w:val="8"/>
                <w:szCs w:val="8"/>
                <w:b w:val="1"/>
                <w:bCs w:val="1"/>
                <w:color w:val="auto"/>
              </w:rPr>
              <w:t>of Stock</w:t>
            </w:r>
          </w:p>
        </w:tc>
        <w:tc>
          <w:tcPr>
            <w:tcW w:w="0" w:type="dxa"/>
            <w:vAlign w:val="bottom"/>
          </w:tcPr>
          <w:p>
            <w:pPr>
              <w:spacing w:after="0"/>
              <w:rPr>
                <w:sz w:val="1"/>
                <w:szCs w:val="1"/>
                <w:color w:val="auto"/>
              </w:rPr>
            </w:pPr>
          </w:p>
        </w:tc>
      </w:tr>
      <w:tr>
        <w:trPr>
          <w:trHeight w:val="30"/>
        </w:trPr>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Shares of</w:t>
            </w: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Underlying</w:t>
            </w: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1360" w:type="dxa"/>
            <w:vAlign w:val="bottom"/>
            <w:gridSpan w:val="2"/>
          </w:tcPr>
          <w:p>
            <w:pPr>
              <w:jc w:val="right"/>
              <w:spacing w:after="0" w:line="136" w:lineRule="exact"/>
              <w:rPr>
                <w:sz w:val="20"/>
                <w:szCs w:val="20"/>
                <w:color w:val="auto"/>
              </w:rPr>
            </w:pPr>
            <w:r>
              <w:rPr>
                <w:rFonts w:ascii="Arial" w:cs="Arial" w:eastAsia="Arial" w:hAnsi="Arial"/>
                <w:sz w:val="12"/>
                <w:szCs w:val="12"/>
                <w:b w:val="1"/>
                <w:bCs w:val="1"/>
                <w:color w:val="auto"/>
              </w:rPr>
              <w:t>Committ- and Option</w:t>
            </w:r>
          </w:p>
        </w:tc>
        <w:tc>
          <w:tcPr>
            <w:tcW w:w="0" w:type="dxa"/>
            <w:vAlign w:val="bottom"/>
          </w:tcPr>
          <w:p>
            <w:pPr>
              <w:spacing w:after="0"/>
              <w:rPr>
                <w:sz w:val="1"/>
                <w:szCs w:val="1"/>
                <w:color w:val="auto"/>
              </w:rPr>
            </w:pPr>
          </w:p>
        </w:tc>
      </w:tr>
      <w:tr>
        <w:trPr>
          <w:trHeight w:val="154"/>
        </w:trPr>
        <w:tc>
          <w:tcPr>
            <w:tcW w:w="16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Grant</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Threshold</w:t>
            </w:r>
          </w:p>
        </w:tc>
        <w:tc>
          <w:tcPr>
            <w:tcW w:w="760" w:type="dxa"/>
            <w:vAlign w:val="bottom"/>
          </w:tcPr>
          <w:p>
            <w:pPr>
              <w:jc w:val="center"/>
              <w:ind w:right="20"/>
              <w:spacing w:after="0"/>
              <w:rPr>
                <w:sz w:val="20"/>
                <w:szCs w:val="20"/>
                <w:color w:val="auto"/>
              </w:rPr>
            </w:pPr>
            <w:r>
              <w:rPr>
                <w:rFonts w:ascii="Arial" w:cs="Arial" w:eastAsia="Arial" w:hAnsi="Arial"/>
                <w:sz w:val="12"/>
                <w:szCs w:val="12"/>
                <w:b w:val="1"/>
                <w:bCs w:val="1"/>
                <w:color w:val="auto"/>
                <w:w w:val="98"/>
              </w:rPr>
              <w:t>Target</w:t>
            </w:r>
          </w:p>
        </w:tc>
        <w:tc>
          <w:tcPr>
            <w:tcW w:w="700" w:type="dxa"/>
            <w:vAlign w:val="bottom"/>
          </w:tcPr>
          <w:p>
            <w:pPr>
              <w:jc w:val="center"/>
              <w:ind w:right="80"/>
              <w:spacing w:after="0"/>
              <w:rPr>
                <w:sz w:val="20"/>
                <w:szCs w:val="20"/>
                <w:color w:val="auto"/>
              </w:rPr>
            </w:pPr>
            <w:r>
              <w:rPr>
                <w:rFonts w:ascii="Arial" w:cs="Arial" w:eastAsia="Arial" w:hAnsi="Arial"/>
                <w:sz w:val="12"/>
                <w:szCs w:val="12"/>
                <w:b w:val="1"/>
                <w:bCs w:val="1"/>
                <w:color w:val="auto"/>
              </w:rPr>
              <w:t>Maximum</w:t>
            </w:r>
          </w:p>
        </w:tc>
        <w:tc>
          <w:tcPr>
            <w:tcW w:w="760" w:type="dxa"/>
            <w:vAlign w:val="bottom"/>
          </w:tcPr>
          <w:p>
            <w:pPr>
              <w:jc w:val="center"/>
              <w:ind w:right="60"/>
              <w:spacing w:after="0"/>
              <w:rPr>
                <w:sz w:val="20"/>
                <w:szCs w:val="20"/>
                <w:color w:val="auto"/>
              </w:rPr>
            </w:pPr>
            <w:r>
              <w:rPr>
                <w:rFonts w:ascii="Arial" w:cs="Arial" w:eastAsia="Arial" w:hAnsi="Arial"/>
                <w:sz w:val="12"/>
                <w:szCs w:val="12"/>
                <w:b w:val="1"/>
                <w:bCs w:val="1"/>
                <w:color w:val="auto"/>
              </w:rPr>
              <w:t>Threshold</w:t>
            </w:r>
          </w:p>
        </w:tc>
        <w:tc>
          <w:tcPr>
            <w:tcW w:w="640" w:type="dxa"/>
            <w:vAlign w:val="bottom"/>
          </w:tcPr>
          <w:p>
            <w:pPr>
              <w:jc w:val="center"/>
              <w:ind w:right="40"/>
              <w:spacing w:after="0"/>
              <w:rPr>
                <w:sz w:val="20"/>
                <w:szCs w:val="20"/>
                <w:color w:val="auto"/>
              </w:rPr>
            </w:pPr>
            <w:r>
              <w:rPr>
                <w:rFonts w:ascii="Arial" w:cs="Arial" w:eastAsia="Arial" w:hAnsi="Arial"/>
                <w:sz w:val="12"/>
                <w:szCs w:val="12"/>
                <w:b w:val="1"/>
                <w:bCs w:val="1"/>
                <w:color w:val="auto"/>
              </w:rPr>
              <w:t>Target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Maximum</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Stock or</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9"/>
              </w:rPr>
              <w:t>ee Action</w:t>
            </w:r>
          </w:p>
        </w:tc>
        <w:tc>
          <w:tcPr>
            <w:tcW w:w="660" w:type="dxa"/>
            <w:vAlign w:val="bottom"/>
          </w:tcPr>
          <w:p>
            <w:pPr>
              <w:jc w:val="center"/>
              <w:spacing w:after="0" w:line="154" w:lineRule="exact"/>
              <w:rPr>
                <w:sz w:val="20"/>
                <w:szCs w:val="20"/>
                <w:color w:val="auto"/>
              </w:rPr>
            </w:pPr>
            <w:r>
              <w:rPr>
                <w:rFonts w:ascii="Arial" w:cs="Arial" w:eastAsia="Arial" w:hAnsi="Arial"/>
                <w:sz w:val="12"/>
                <w:szCs w:val="12"/>
                <w:b w:val="1"/>
                <w:bCs w:val="1"/>
                <w:color w:val="auto"/>
                <w:w w:val="97"/>
              </w:rPr>
              <w:t>Awards</w:t>
            </w:r>
            <w:r>
              <w:rPr>
                <w:rFonts w:ascii="Arial" w:cs="Arial" w:eastAsia="Arial" w:hAnsi="Arial"/>
                <w:sz w:val="17"/>
                <w:szCs w:val="17"/>
                <w:b w:val="1"/>
                <w:bCs w:val="1"/>
                <w:color w:val="auto"/>
                <w:w w:val="97"/>
                <w:vertAlign w:val="superscript"/>
              </w:rPr>
              <w:t>(6)</w:t>
            </w:r>
          </w:p>
        </w:tc>
        <w:tc>
          <w:tcPr>
            <w:tcW w:w="0" w:type="dxa"/>
            <w:vAlign w:val="bottom"/>
          </w:tcPr>
          <w:p>
            <w:pPr>
              <w:spacing w:after="0"/>
              <w:rPr>
                <w:sz w:val="1"/>
                <w:szCs w:val="1"/>
                <w:color w:val="auto"/>
              </w:rPr>
            </w:pPr>
          </w:p>
        </w:tc>
      </w:tr>
      <w:tr>
        <w:trPr>
          <w:trHeight w:val="147"/>
        </w:trPr>
        <w:tc>
          <w:tcPr>
            <w:tcW w:w="162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Name</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76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5"/>
              </w:rPr>
              <w:t>(#)</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Units (#)</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($/Sh)</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Date ($/Sh)</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142"/>
        </w:trPr>
        <w:tc>
          <w:tcPr>
            <w:tcW w:w="1620" w:type="dxa"/>
            <w:vAlign w:val="bottom"/>
          </w:tcPr>
          <w:p>
            <w:pPr>
              <w:ind w:left="760"/>
              <w:spacing w:after="0"/>
              <w:rPr>
                <w:sz w:val="20"/>
                <w:szCs w:val="20"/>
                <w:color w:val="auto"/>
              </w:rPr>
            </w:pPr>
            <w:r>
              <w:rPr>
                <w:rFonts w:ascii="Arial" w:cs="Arial" w:eastAsia="Arial" w:hAnsi="Arial"/>
                <w:sz w:val="9"/>
                <w:szCs w:val="9"/>
                <w:b w:val="1"/>
                <w:bCs w:val="1"/>
                <w:color w:val="auto"/>
              </w:rPr>
              <w:t>(a)</w:t>
            </w: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86"/>
              </w:rPr>
              <w:t>(b)</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rPr>
              <w:t>(c)</w:t>
            </w:r>
          </w:p>
        </w:tc>
        <w:tc>
          <w:tcPr>
            <w:tcW w:w="760" w:type="dxa"/>
            <w:vAlign w:val="bottom"/>
          </w:tcPr>
          <w:p>
            <w:pPr>
              <w:jc w:val="center"/>
              <w:ind w:right="20"/>
              <w:spacing w:after="0"/>
              <w:rPr>
                <w:sz w:val="20"/>
                <w:szCs w:val="20"/>
                <w:color w:val="auto"/>
              </w:rPr>
            </w:pPr>
            <w:r>
              <w:rPr>
                <w:rFonts w:ascii="Arial" w:cs="Arial" w:eastAsia="Arial" w:hAnsi="Arial"/>
                <w:sz w:val="9"/>
                <w:szCs w:val="9"/>
                <w:b w:val="1"/>
                <w:bCs w:val="1"/>
                <w:color w:val="auto"/>
              </w:rPr>
              <w:t>(d)</w:t>
            </w:r>
          </w:p>
        </w:tc>
        <w:tc>
          <w:tcPr>
            <w:tcW w:w="700" w:type="dxa"/>
            <w:vAlign w:val="bottom"/>
          </w:tcPr>
          <w:p>
            <w:pPr>
              <w:jc w:val="center"/>
              <w:ind w:right="80"/>
              <w:spacing w:after="0"/>
              <w:rPr>
                <w:sz w:val="20"/>
                <w:szCs w:val="20"/>
                <w:color w:val="auto"/>
              </w:rPr>
            </w:pPr>
            <w:r>
              <w:rPr>
                <w:rFonts w:ascii="Arial" w:cs="Arial" w:eastAsia="Arial" w:hAnsi="Arial"/>
                <w:sz w:val="9"/>
                <w:szCs w:val="9"/>
                <w:b w:val="1"/>
                <w:bCs w:val="1"/>
                <w:color w:val="auto"/>
              </w:rPr>
              <w:t>(e)</w:t>
            </w:r>
          </w:p>
        </w:tc>
        <w:tc>
          <w:tcPr>
            <w:tcW w:w="760" w:type="dxa"/>
            <w:vAlign w:val="bottom"/>
          </w:tcPr>
          <w:p>
            <w:pPr>
              <w:jc w:val="center"/>
              <w:ind w:right="40"/>
              <w:spacing w:after="0"/>
              <w:rPr>
                <w:sz w:val="20"/>
                <w:szCs w:val="20"/>
                <w:color w:val="auto"/>
              </w:rPr>
            </w:pPr>
            <w:r>
              <w:rPr>
                <w:rFonts w:ascii="Arial" w:cs="Arial" w:eastAsia="Arial" w:hAnsi="Arial"/>
                <w:sz w:val="9"/>
                <w:szCs w:val="9"/>
                <w:b w:val="1"/>
                <w:bCs w:val="1"/>
                <w:color w:val="auto"/>
              </w:rPr>
              <w:t>(f)</w:t>
            </w:r>
          </w:p>
        </w:tc>
        <w:tc>
          <w:tcPr>
            <w:tcW w:w="640" w:type="dxa"/>
            <w:vAlign w:val="bottom"/>
          </w:tcPr>
          <w:p>
            <w:pPr>
              <w:ind w:left="200"/>
              <w:spacing w:after="0"/>
              <w:rPr>
                <w:sz w:val="20"/>
                <w:szCs w:val="20"/>
                <w:color w:val="auto"/>
              </w:rPr>
            </w:pPr>
            <w:r>
              <w:rPr>
                <w:rFonts w:ascii="Arial" w:cs="Arial" w:eastAsia="Arial" w:hAnsi="Arial"/>
                <w:sz w:val="9"/>
                <w:szCs w:val="9"/>
                <w:b w:val="1"/>
                <w:bCs w:val="1"/>
                <w:color w:val="auto"/>
              </w:rPr>
              <w:t>(g)</w:t>
            </w: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w w:val="86"/>
              </w:rPr>
              <w:t>(h)</w:t>
            </w: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rPr>
              <w:t>(i)</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rPr>
              <w:t>(j)</w:t>
            </w:r>
          </w:p>
        </w:tc>
        <w:tc>
          <w:tcPr>
            <w:tcW w:w="620" w:type="dxa"/>
            <w:vAlign w:val="bottom"/>
          </w:tcPr>
          <w:p>
            <w:pPr>
              <w:jc w:val="center"/>
              <w:spacing w:after="0"/>
              <w:rPr>
                <w:sz w:val="20"/>
                <w:szCs w:val="20"/>
                <w:color w:val="auto"/>
              </w:rPr>
            </w:pPr>
            <w:r>
              <w:rPr>
                <w:rFonts w:ascii="Arial" w:cs="Arial" w:eastAsia="Arial" w:hAnsi="Arial"/>
                <w:sz w:val="9"/>
                <w:szCs w:val="9"/>
                <w:b w:val="1"/>
                <w:bCs w:val="1"/>
                <w:color w:val="auto"/>
                <w:w w:val="90"/>
              </w:rPr>
              <w:t>(k)</w:t>
            </w: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rPr>
              <w:t>(l)</w:t>
            </w: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w w:val="99"/>
              </w:rPr>
              <w:t>(m)</w:t>
            </w:r>
          </w:p>
        </w:tc>
        <w:tc>
          <w:tcPr>
            <w:tcW w:w="0" w:type="dxa"/>
            <w:vAlign w:val="bottom"/>
          </w:tcPr>
          <w:p>
            <w:pPr>
              <w:spacing w:after="0"/>
              <w:rPr>
                <w:sz w:val="1"/>
                <w:szCs w:val="1"/>
                <w:color w:val="auto"/>
              </w:rPr>
            </w:pPr>
          </w:p>
        </w:tc>
      </w:tr>
      <w:tr>
        <w:trPr>
          <w:trHeight w:val="36"/>
        </w:trPr>
        <w:tc>
          <w:tcPr>
            <w:tcW w:w="1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1620" w:type="dxa"/>
            <w:vAlign w:val="bottom"/>
            <w:shd w:val="clear" w:color="auto" w:fill="DFE4EA"/>
          </w:tcPr>
          <w:p>
            <w:pPr>
              <w:spacing w:after="0"/>
              <w:rPr>
                <w:sz w:val="20"/>
                <w:szCs w:val="20"/>
                <w:color w:val="auto"/>
              </w:rPr>
            </w:pPr>
            <w:r>
              <w:rPr>
                <w:rFonts w:ascii="Arial" w:cs="Arial" w:eastAsia="Arial" w:hAnsi="Arial"/>
                <w:sz w:val="12"/>
                <w:szCs w:val="12"/>
                <w:color w:val="auto"/>
              </w:rPr>
              <w:t>J. Patrick Mackin</w:t>
            </w:r>
          </w:p>
        </w:tc>
        <w:tc>
          <w:tcPr>
            <w:tcW w:w="680" w:type="dxa"/>
            <w:vAlign w:val="bottom"/>
            <w:shd w:val="clear" w:color="auto" w:fill="DFE4EA"/>
          </w:tcPr>
          <w:p>
            <w:pPr>
              <w:jc w:val="right"/>
              <w:spacing w:after="0"/>
              <w:rPr>
                <w:sz w:val="20"/>
                <w:szCs w:val="20"/>
                <w:color w:val="auto"/>
              </w:rPr>
            </w:pPr>
            <w:r>
              <w:rPr>
                <w:rFonts w:ascii="Arial" w:cs="Arial" w:eastAsia="Arial" w:hAnsi="Arial"/>
                <w:sz w:val="12"/>
                <w:szCs w:val="12"/>
                <w:color w:val="auto"/>
              </w:rPr>
              <w:t>2/28/25</w:t>
            </w:r>
          </w:p>
        </w:tc>
        <w:tc>
          <w:tcPr>
            <w:tcW w:w="740" w:type="dxa"/>
            <w:vAlign w:val="bottom"/>
            <w:shd w:val="clear" w:color="auto" w:fill="DFE4EA"/>
          </w:tcPr>
          <w:p>
            <w:pPr>
              <w:jc w:val="right"/>
              <w:spacing w:after="0"/>
              <w:rPr>
                <w:sz w:val="20"/>
                <w:szCs w:val="20"/>
                <w:color w:val="auto"/>
              </w:rPr>
            </w:pPr>
            <w:r>
              <w:rPr>
                <w:rFonts w:ascii="Arial" w:cs="Arial" w:eastAsia="Arial" w:hAnsi="Arial"/>
                <w:sz w:val="12"/>
                <w:szCs w:val="12"/>
                <w:color w:val="auto"/>
              </w:rPr>
              <w:t>250,544</w:t>
            </w:r>
          </w:p>
        </w:tc>
        <w:tc>
          <w:tcPr>
            <w:tcW w:w="760" w:type="dxa"/>
            <w:vAlign w:val="bottom"/>
            <w:shd w:val="clear" w:color="auto" w:fill="DFE4EA"/>
          </w:tcPr>
          <w:p>
            <w:pPr>
              <w:jc w:val="right"/>
              <w:ind w:right="20"/>
              <w:spacing w:after="0"/>
              <w:rPr>
                <w:sz w:val="20"/>
                <w:szCs w:val="20"/>
                <w:color w:val="auto"/>
              </w:rPr>
            </w:pPr>
            <w:r>
              <w:rPr>
                <w:rFonts w:ascii="Arial" w:cs="Arial" w:eastAsia="Arial" w:hAnsi="Arial"/>
                <w:sz w:val="12"/>
                <w:szCs w:val="12"/>
                <w:color w:val="auto"/>
              </w:rPr>
              <w:t>835,145</w:t>
            </w: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1,670,290</w:t>
            </w:r>
          </w:p>
        </w:tc>
        <w:tc>
          <w:tcPr>
            <w:tcW w:w="760" w:type="dxa"/>
            <w:vAlign w:val="bottom"/>
            <w:shd w:val="clear" w:color="auto" w:fill="DFE4EA"/>
          </w:tcPr>
          <w:p>
            <w:pPr>
              <w:spacing w:after="0"/>
              <w:rPr>
                <w:sz w:val="15"/>
                <w:szCs w:val="15"/>
                <w:color w:val="auto"/>
              </w:rPr>
            </w:pPr>
          </w:p>
        </w:tc>
        <w:tc>
          <w:tcPr>
            <w:tcW w:w="640" w:type="dxa"/>
            <w:vAlign w:val="bottom"/>
            <w:shd w:val="clear" w:color="auto" w:fill="DFE4EA"/>
          </w:tcPr>
          <w:p>
            <w:pPr>
              <w:spacing w:after="0"/>
              <w:rPr>
                <w:sz w:val="15"/>
                <w:szCs w:val="15"/>
                <w:color w:val="auto"/>
              </w:rPr>
            </w:pPr>
          </w:p>
        </w:tc>
        <w:tc>
          <w:tcPr>
            <w:tcW w:w="700" w:type="dxa"/>
            <w:vAlign w:val="bottom"/>
            <w:shd w:val="clear" w:color="auto" w:fill="DFE4EA"/>
          </w:tcPr>
          <w:p>
            <w:pPr>
              <w:spacing w:after="0"/>
              <w:rPr>
                <w:sz w:val="15"/>
                <w:szCs w:val="15"/>
                <w:color w:val="auto"/>
              </w:rPr>
            </w:pPr>
          </w:p>
        </w:tc>
        <w:tc>
          <w:tcPr>
            <w:tcW w:w="700" w:type="dxa"/>
            <w:vAlign w:val="bottom"/>
            <w:shd w:val="clear" w:color="auto" w:fill="DFE4EA"/>
          </w:tcPr>
          <w:p>
            <w:pPr>
              <w:spacing w:after="0"/>
              <w:rPr>
                <w:sz w:val="15"/>
                <w:szCs w:val="15"/>
                <w:color w:val="auto"/>
              </w:rPr>
            </w:pPr>
          </w:p>
        </w:tc>
        <w:tc>
          <w:tcPr>
            <w:tcW w:w="740" w:type="dxa"/>
            <w:vAlign w:val="bottom"/>
            <w:shd w:val="clear" w:color="auto" w:fill="DFE4EA"/>
          </w:tcPr>
          <w:p>
            <w:pPr>
              <w:spacing w:after="0"/>
              <w:rPr>
                <w:sz w:val="15"/>
                <w:szCs w:val="15"/>
                <w:color w:val="auto"/>
              </w:rPr>
            </w:pPr>
          </w:p>
        </w:tc>
        <w:tc>
          <w:tcPr>
            <w:tcW w:w="620" w:type="dxa"/>
            <w:vAlign w:val="bottom"/>
            <w:shd w:val="clear" w:color="auto" w:fill="DFE4EA"/>
          </w:tcPr>
          <w:p>
            <w:pPr>
              <w:spacing w:after="0"/>
              <w:rPr>
                <w:sz w:val="15"/>
                <w:szCs w:val="15"/>
                <w:color w:val="auto"/>
              </w:rPr>
            </w:pPr>
          </w:p>
        </w:tc>
        <w:tc>
          <w:tcPr>
            <w:tcW w:w="700" w:type="dxa"/>
            <w:vAlign w:val="bottom"/>
            <w:shd w:val="clear" w:color="auto" w:fill="DFE4EA"/>
          </w:tcPr>
          <w:p>
            <w:pPr>
              <w:spacing w:after="0"/>
              <w:rPr>
                <w:sz w:val="15"/>
                <w:szCs w:val="15"/>
                <w:color w:val="auto"/>
              </w:rPr>
            </w:pPr>
          </w:p>
        </w:tc>
        <w:tc>
          <w:tcPr>
            <w:tcW w:w="660" w:type="dxa"/>
            <w:vAlign w:val="bottom"/>
            <w:shd w:val="clear" w:color="auto" w:fill="DFE4EA"/>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DFE4EA"/>
          </w:tcPr>
          <w:p>
            <w:pPr>
              <w:spacing w:after="0"/>
              <w:rPr>
                <w:sz w:val="17"/>
                <w:szCs w:val="17"/>
                <w:color w:val="auto"/>
              </w:rPr>
            </w:pPr>
          </w:p>
        </w:tc>
        <w:tc>
          <w:tcPr>
            <w:tcW w:w="680" w:type="dxa"/>
            <w:vAlign w:val="bottom"/>
            <w:shd w:val="clear" w:color="auto" w:fill="DFE4EA"/>
          </w:tcPr>
          <w:p>
            <w:pPr>
              <w:jc w:val="right"/>
              <w:spacing w:after="0" w:line="204" w:lineRule="exact"/>
              <w:rPr>
                <w:sz w:val="20"/>
                <w:szCs w:val="20"/>
                <w:color w:val="auto"/>
              </w:rPr>
            </w:pPr>
            <w:r>
              <w:rPr>
                <w:rFonts w:ascii="Arial" w:cs="Arial" w:eastAsia="Arial" w:hAnsi="Arial"/>
                <w:sz w:val="12"/>
                <w:szCs w:val="12"/>
                <w:color w:val="auto"/>
              </w:rPr>
              <w:t>2/28/25</w:t>
            </w:r>
            <w:r>
              <w:rPr>
                <w:rFonts w:ascii="Arial" w:cs="Arial" w:eastAsia="Arial" w:hAnsi="Arial"/>
                <w:sz w:val="18"/>
                <w:szCs w:val="18"/>
                <w:color w:val="auto"/>
                <w:vertAlign w:val="superscript"/>
              </w:rPr>
              <w:t>(2)</w:t>
            </w:r>
          </w:p>
        </w:tc>
        <w:tc>
          <w:tcPr>
            <w:tcW w:w="740" w:type="dxa"/>
            <w:vAlign w:val="bottom"/>
            <w:shd w:val="clear" w:color="auto" w:fill="DFE4EA"/>
          </w:tcPr>
          <w:p>
            <w:pPr>
              <w:spacing w:after="0"/>
              <w:rPr>
                <w:sz w:val="17"/>
                <w:szCs w:val="17"/>
                <w:color w:val="auto"/>
              </w:rPr>
            </w:pPr>
          </w:p>
        </w:tc>
        <w:tc>
          <w:tcPr>
            <w:tcW w:w="76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760" w:type="dxa"/>
            <w:vAlign w:val="bottom"/>
            <w:shd w:val="clear" w:color="auto" w:fill="DFE4EA"/>
          </w:tcPr>
          <w:p>
            <w:pPr>
              <w:spacing w:after="0"/>
              <w:rPr>
                <w:sz w:val="17"/>
                <w:szCs w:val="17"/>
                <w:color w:val="auto"/>
              </w:rPr>
            </w:pPr>
          </w:p>
        </w:tc>
        <w:tc>
          <w:tcPr>
            <w:tcW w:w="64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98,524</w:t>
            </w:r>
          </w:p>
        </w:tc>
        <w:tc>
          <w:tcPr>
            <w:tcW w:w="740" w:type="dxa"/>
            <w:vAlign w:val="bottom"/>
            <w:shd w:val="clear" w:color="auto" w:fill="DFE4EA"/>
          </w:tcPr>
          <w:p>
            <w:pPr>
              <w:spacing w:after="0"/>
              <w:rPr>
                <w:sz w:val="17"/>
                <w:szCs w:val="17"/>
                <w:color w:val="auto"/>
              </w:rPr>
            </w:pPr>
          </w:p>
        </w:tc>
        <w:tc>
          <w:tcPr>
            <w:tcW w:w="62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660" w:type="dxa"/>
            <w:vAlign w:val="bottom"/>
            <w:shd w:val="clear" w:color="auto" w:fill="DFE4EA"/>
          </w:tcPr>
          <w:p>
            <w:pPr>
              <w:jc w:val="right"/>
              <w:spacing w:after="0"/>
              <w:rPr>
                <w:sz w:val="20"/>
                <w:szCs w:val="20"/>
                <w:color w:val="auto"/>
              </w:rPr>
            </w:pPr>
            <w:r>
              <w:rPr>
                <w:rFonts w:ascii="Arial" w:cs="Arial" w:eastAsia="Arial" w:hAnsi="Arial"/>
                <w:sz w:val="12"/>
                <w:szCs w:val="12"/>
                <w:color w:val="auto"/>
              </w:rPr>
              <w:t>2,503,495</w:t>
            </w:r>
          </w:p>
        </w:tc>
        <w:tc>
          <w:tcPr>
            <w:tcW w:w="0" w:type="dxa"/>
            <w:vAlign w:val="bottom"/>
          </w:tcPr>
          <w:p>
            <w:pPr>
              <w:spacing w:after="0"/>
              <w:rPr>
                <w:sz w:val="1"/>
                <w:szCs w:val="1"/>
                <w:color w:val="auto"/>
              </w:rPr>
            </w:pPr>
          </w:p>
        </w:tc>
      </w:tr>
      <w:tr>
        <w:trPr>
          <w:trHeight w:val="197"/>
        </w:trPr>
        <w:tc>
          <w:tcPr>
            <w:tcW w:w="1620" w:type="dxa"/>
            <w:vAlign w:val="bottom"/>
            <w:shd w:val="clear" w:color="auto" w:fill="DFE4EA"/>
          </w:tcPr>
          <w:p>
            <w:pPr>
              <w:spacing w:after="0"/>
              <w:rPr>
                <w:sz w:val="17"/>
                <w:szCs w:val="17"/>
                <w:color w:val="auto"/>
              </w:rPr>
            </w:pPr>
          </w:p>
        </w:tc>
        <w:tc>
          <w:tcPr>
            <w:tcW w:w="680" w:type="dxa"/>
            <w:vAlign w:val="bottom"/>
            <w:shd w:val="clear" w:color="auto" w:fill="DFE4EA"/>
          </w:tcPr>
          <w:p>
            <w:pPr>
              <w:jc w:val="right"/>
              <w:spacing w:after="0" w:line="197" w:lineRule="exact"/>
              <w:rPr>
                <w:sz w:val="20"/>
                <w:szCs w:val="20"/>
                <w:color w:val="auto"/>
              </w:rPr>
            </w:pPr>
            <w:r>
              <w:rPr>
                <w:rFonts w:ascii="Arial" w:cs="Arial" w:eastAsia="Arial" w:hAnsi="Arial"/>
                <w:sz w:val="12"/>
                <w:szCs w:val="12"/>
                <w:color w:val="auto"/>
              </w:rPr>
              <w:t>2/28/25</w:t>
            </w:r>
            <w:r>
              <w:rPr>
                <w:rFonts w:ascii="Arial" w:cs="Arial" w:eastAsia="Arial" w:hAnsi="Arial"/>
                <w:sz w:val="18"/>
                <w:szCs w:val="18"/>
                <w:color w:val="auto"/>
                <w:vertAlign w:val="superscript"/>
              </w:rPr>
              <w:t>(3)</w:t>
            </w:r>
          </w:p>
        </w:tc>
        <w:tc>
          <w:tcPr>
            <w:tcW w:w="740" w:type="dxa"/>
            <w:vAlign w:val="bottom"/>
            <w:shd w:val="clear" w:color="auto" w:fill="DFE4EA"/>
          </w:tcPr>
          <w:p>
            <w:pPr>
              <w:spacing w:after="0"/>
              <w:rPr>
                <w:sz w:val="17"/>
                <w:szCs w:val="17"/>
                <w:color w:val="auto"/>
              </w:rPr>
            </w:pPr>
          </w:p>
        </w:tc>
        <w:tc>
          <w:tcPr>
            <w:tcW w:w="76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760" w:type="dxa"/>
            <w:vAlign w:val="bottom"/>
            <w:shd w:val="clear" w:color="auto" w:fill="DFE4EA"/>
          </w:tcPr>
          <w:p>
            <w:pPr>
              <w:jc w:val="right"/>
              <w:spacing w:after="0"/>
              <w:rPr>
                <w:sz w:val="20"/>
                <w:szCs w:val="20"/>
                <w:color w:val="auto"/>
              </w:rPr>
            </w:pPr>
            <w:r>
              <w:rPr>
                <w:rFonts w:ascii="Arial" w:cs="Arial" w:eastAsia="Arial" w:hAnsi="Arial"/>
                <w:sz w:val="12"/>
                <w:szCs w:val="12"/>
                <w:color w:val="auto"/>
              </w:rPr>
              <w:t>29,557</w:t>
            </w:r>
          </w:p>
        </w:tc>
        <w:tc>
          <w:tcPr>
            <w:tcW w:w="640" w:type="dxa"/>
            <w:vAlign w:val="bottom"/>
            <w:shd w:val="clear" w:color="auto" w:fill="DFE4EA"/>
          </w:tcPr>
          <w:p>
            <w:pPr>
              <w:ind w:left="220"/>
              <w:spacing w:after="0"/>
              <w:rPr>
                <w:sz w:val="20"/>
                <w:szCs w:val="20"/>
                <w:color w:val="auto"/>
              </w:rPr>
            </w:pPr>
            <w:r>
              <w:rPr>
                <w:rFonts w:ascii="Arial" w:cs="Arial" w:eastAsia="Arial" w:hAnsi="Arial"/>
                <w:sz w:val="12"/>
                <w:szCs w:val="12"/>
                <w:color w:val="auto"/>
              </w:rPr>
              <w:t>98,524</w:t>
            </w: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197,048</w:t>
            </w:r>
          </w:p>
        </w:tc>
        <w:tc>
          <w:tcPr>
            <w:tcW w:w="700" w:type="dxa"/>
            <w:vAlign w:val="bottom"/>
            <w:shd w:val="clear" w:color="auto" w:fill="DFE4EA"/>
          </w:tcPr>
          <w:p>
            <w:pPr>
              <w:spacing w:after="0"/>
              <w:rPr>
                <w:sz w:val="17"/>
                <w:szCs w:val="17"/>
                <w:color w:val="auto"/>
              </w:rPr>
            </w:pPr>
          </w:p>
        </w:tc>
        <w:tc>
          <w:tcPr>
            <w:tcW w:w="740" w:type="dxa"/>
            <w:vAlign w:val="bottom"/>
            <w:shd w:val="clear" w:color="auto" w:fill="DFE4EA"/>
          </w:tcPr>
          <w:p>
            <w:pPr>
              <w:spacing w:after="0"/>
              <w:rPr>
                <w:sz w:val="17"/>
                <w:szCs w:val="17"/>
                <w:color w:val="auto"/>
              </w:rPr>
            </w:pPr>
          </w:p>
        </w:tc>
        <w:tc>
          <w:tcPr>
            <w:tcW w:w="62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660" w:type="dxa"/>
            <w:vAlign w:val="bottom"/>
            <w:shd w:val="clear" w:color="auto" w:fill="DFE4EA"/>
          </w:tcPr>
          <w:p>
            <w:pPr>
              <w:jc w:val="right"/>
              <w:spacing w:after="0"/>
              <w:rPr>
                <w:sz w:val="20"/>
                <w:szCs w:val="20"/>
                <w:color w:val="auto"/>
              </w:rPr>
            </w:pPr>
            <w:r>
              <w:rPr>
                <w:rFonts w:ascii="Arial" w:cs="Arial" w:eastAsia="Arial" w:hAnsi="Arial"/>
                <w:sz w:val="12"/>
                <w:szCs w:val="12"/>
                <w:color w:val="auto"/>
              </w:rPr>
              <w:t>2,503,495</w:t>
            </w:r>
          </w:p>
        </w:tc>
        <w:tc>
          <w:tcPr>
            <w:tcW w:w="0" w:type="dxa"/>
            <w:vAlign w:val="bottom"/>
          </w:tcPr>
          <w:p>
            <w:pPr>
              <w:spacing w:after="0"/>
              <w:rPr>
                <w:sz w:val="1"/>
                <w:szCs w:val="1"/>
                <w:color w:val="auto"/>
              </w:rPr>
            </w:pPr>
          </w:p>
        </w:tc>
      </w:tr>
      <w:tr>
        <w:trPr>
          <w:trHeight w:val="198"/>
        </w:trPr>
        <w:tc>
          <w:tcPr>
            <w:tcW w:w="1620" w:type="dxa"/>
            <w:vAlign w:val="bottom"/>
          </w:tcPr>
          <w:p>
            <w:pPr>
              <w:spacing w:after="0"/>
              <w:rPr>
                <w:sz w:val="20"/>
                <w:szCs w:val="20"/>
                <w:color w:val="auto"/>
              </w:rPr>
            </w:pPr>
            <w:r>
              <w:rPr>
                <w:rFonts w:ascii="Arial" w:cs="Arial" w:eastAsia="Arial" w:hAnsi="Arial"/>
                <w:sz w:val="12"/>
                <w:szCs w:val="12"/>
                <w:color w:val="auto"/>
              </w:rPr>
              <w:t>Lance A. Berry</w:t>
            </w:r>
          </w:p>
        </w:tc>
        <w:tc>
          <w:tcPr>
            <w:tcW w:w="680" w:type="dxa"/>
            <w:vAlign w:val="bottom"/>
          </w:tcPr>
          <w:p>
            <w:pPr>
              <w:jc w:val="right"/>
              <w:spacing w:after="0" w:line="198" w:lineRule="exact"/>
              <w:rPr>
                <w:sz w:val="20"/>
                <w:szCs w:val="20"/>
                <w:color w:val="auto"/>
              </w:rPr>
            </w:pPr>
            <w:r>
              <w:rPr>
                <w:rFonts w:ascii="Arial" w:cs="Arial" w:eastAsia="Arial" w:hAnsi="Arial"/>
                <w:sz w:val="12"/>
                <w:szCs w:val="12"/>
                <w:color w:val="auto"/>
              </w:rPr>
              <w:t>2/28/25</w:t>
            </w:r>
            <w:r>
              <w:rPr>
                <w:rFonts w:ascii="Arial" w:cs="Arial" w:eastAsia="Arial" w:hAnsi="Arial"/>
                <w:sz w:val="18"/>
                <w:szCs w:val="18"/>
                <w:color w:val="auto"/>
                <w:vertAlign w:val="superscript"/>
              </w:rPr>
              <w:t>(4)</w:t>
            </w:r>
          </w:p>
        </w:tc>
        <w:tc>
          <w:tcPr>
            <w:tcW w:w="740" w:type="dxa"/>
            <w:vAlign w:val="bottom"/>
          </w:tcPr>
          <w:p>
            <w:pPr>
              <w:jc w:val="right"/>
              <w:spacing w:after="0"/>
              <w:rPr>
                <w:sz w:val="20"/>
                <w:szCs w:val="20"/>
                <w:color w:val="auto"/>
              </w:rPr>
            </w:pPr>
            <w:r>
              <w:rPr>
                <w:rFonts w:ascii="Arial" w:cs="Arial" w:eastAsia="Arial" w:hAnsi="Arial"/>
                <w:sz w:val="12"/>
                <w:szCs w:val="12"/>
                <w:color w:val="auto"/>
              </w:rPr>
              <w:t>101,139</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337,130</w:t>
            </w:r>
          </w:p>
        </w:tc>
        <w:tc>
          <w:tcPr>
            <w:tcW w:w="700" w:type="dxa"/>
            <w:vAlign w:val="bottom"/>
          </w:tcPr>
          <w:p>
            <w:pPr>
              <w:jc w:val="right"/>
              <w:spacing w:after="0"/>
              <w:rPr>
                <w:sz w:val="20"/>
                <w:szCs w:val="20"/>
                <w:color w:val="auto"/>
              </w:rPr>
            </w:pPr>
            <w:r>
              <w:rPr>
                <w:rFonts w:ascii="Arial" w:cs="Arial" w:eastAsia="Arial" w:hAnsi="Arial"/>
                <w:sz w:val="12"/>
                <w:szCs w:val="12"/>
                <w:color w:val="auto"/>
              </w:rPr>
              <w:t>674,260</w:t>
            </w: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20" w:type="dxa"/>
            <w:vAlign w:val="bottom"/>
          </w:tcPr>
          <w:p>
            <w:pPr>
              <w:spacing w:after="0"/>
              <w:rPr>
                <w:sz w:val="17"/>
                <w:szCs w:val="17"/>
                <w:color w:val="auto"/>
              </w:rPr>
            </w:pPr>
          </w:p>
        </w:tc>
        <w:tc>
          <w:tcPr>
            <w:tcW w:w="680" w:type="dxa"/>
            <w:vAlign w:val="bottom"/>
          </w:tcPr>
          <w:p>
            <w:pPr>
              <w:jc w:val="right"/>
              <w:spacing w:after="0" w:line="197" w:lineRule="exact"/>
              <w:rPr>
                <w:sz w:val="20"/>
                <w:szCs w:val="20"/>
                <w:color w:val="auto"/>
              </w:rPr>
            </w:pPr>
            <w:r>
              <w:rPr>
                <w:rFonts w:ascii="Arial" w:cs="Arial" w:eastAsia="Arial" w:hAnsi="Arial"/>
                <w:sz w:val="12"/>
                <w:szCs w:val="12"/>
                <w:color w:val="auto"/>
              </w:rPr>
              <w:t>2/28/25</w:t>
            </w:r>
            <w:r>
              <w:rPr>
                <w:rFonts w:ascii="Arial" w:cs="Arial" w:eastAsia="Arial" w:hAnsi="Arial"/>
                <w:sz w:val="18"/>
                <w:szCs w:val="18"/>
                <w:color w:val="auto"/>
                <w:vertAlign w:val="superscript"/>
              </w:rPr>
              <w:t>(2)</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34,435</w:t>
            </w: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874,993</w:t>
            </w:r>
          </w:p>
        </w:tc>
        <w:tc>
          <w:tcPr>
            <w:tcW w:w="0" w:type="dxa"/>
            <w:vAlign w:val="bottom"/>
          </w:tcPr>
          <w:p>
            <w:pPr>
              <w:spacing w:after="0"/>
              <w:rPr>
                <w:sz w:val="1"/>
                <w:szCs w:val="1"/>
                <w:color w:val="auto"/>
              </w:rPr>
            </w:pPr>
          </w:p>
        </w:tc>
      </w:tr>
      <w:tr>
        <w:trPr>
          <w:trHeight w:val="197"/>
        </w:trPr>
        <w:tc>
          <w:tcPr>
            <w:tcW w:w="1620" w:type="dxa"/>
            <w:vAlign w:val="bottom"/>
          </w:tcPr>
          <w:p>
            <w:pPr>
              <w:spacing w:after="0"/>
              <w:rPr>
                <w:sz w:val="17"/>
                <w:szCs w:val="17"/>
                <w:color w:val="auto"/>
              </w:rPr>
            </w:pPr>
          </w:p>
        </w:tc>
        <w:tc>
          <w:tcPr>
            <w:tcW w:w="680" w:type="dxa"/>
            <w:vAlign w:val="bottom"/>
          </w:tcPr>
          <w:p>
            <w:pPr>
              <w:jc w:val="right"/>
              <w:spacing w:after="0" w:line="197" w:lineRule="exact"/>
              <w:rPr>
                <w:sz w:val="20"/>
                <w:szCs w:val="20"/>
                <w:color w:val="auto"/>
              </w:rPr>
            </w:pPr>
            <w:r>
              <w:rPr>
                <w:rFonts w:ascii="Arial" w:cs="Arial" w:eastAsia="Arial" w:hAnsi="Arial"/>
                <w:sz w:val="12"/>
                <w:szCs w:val="12"/>
                <w:color w:val="auto"/>
              </w:rPr>
              <w:t>2/28/25</w:t>
            </w:r>
            <w:r>
              <w:rPr>
                <w:rFonts w:ascii="Arial" w:cs="Arial" w:eastAsia="Arial" w:hAnsi="Arial"/>
                <w:sz w:val="18"/>
                <w:szCs w:val="18"/>
                <w:color w:val="auto"/>
                <w:vertAlign w:val="superscript"/>
              </w:rPr>
              <w:t>(3)</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10,331</w:t>
            </w:r>
          </w:p>
        </w:tc>
        <w:tc>
          <w:tcPr>
            <w:tcW w:w="640" w:type="dxa"/>
            <w:vAlign w:val="bottom"/>
          </w:tcPr>
          <w:p>
            <w:pPr>
              <w:ind w:left="220"/>
              <w:spacing w:after="0"/>
              <w:rPr>
                <w:sz w:val="20"/>
                <w:szCs w:val="20"/>
                <w:color w:val="auto"/>
              </w:rPr>
            </w:pPr>
            <w:r>
              <w:rPr>
                <w:rFonts w:ascii="Arial" w:cs="Arial" w:eastAsia="Arial" w:hAnsi="Arial"/>
                <w:sz w:val="12"/>
                <w:szCs w:val="12"/>
                <w:color w:val="auto"/>
              </w:rPr>
              <w:t>34,435</w:t>
            </w:r>
          </w:p>
        </w:tc>
        <w:tc>
          <w:tcPr>
            <w:tcW w:w="700" w:type="dxa"/>
            <w:vAlign w:val="bottom"/>
          </w:tcPr>
          <w:p>
            <w:pPr>
              <w:jc w:val="right"/>
              <w:spacing w:after="0"/>
              <w:rPr>
                <w:sz w:val="20"/>
                <w:szCs w:val="20"/>
                <w:color w:val="auto"/>
              </w:rPr>
            </w:pPr>
            <w:r>
              <w:rPr>
                <w:rFonts w:ascii="Arial" w:cs="Arial" w:eastAsia="Arial" w:hAnsi="Arial"/>
                <w:sz w:val="12"/>
                <w:szCs w:val="12"/>
                <w:color w:val="auto"/>
              </w:rPr>
              <w:t>68,870</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874,993</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2"/>
                <w:szCs w:val="12"/>
                <w:color w:val="auto"/>
              </w:rPr>
              <w:t>8/12/25</w:t>
            </w:r>
            <w:r>
              <w:rPr>
                <w:rFonts w:ascii="Arial" w:cs="Arial" w:eastAsia="Arial" w:hAnsi="Arial"/>
                <w:sz w:val="18"/>
                <w:szCs w:val="18"/>
                <w:color w:val="auto"/>
                <w:vertAlign w:val="superscript"/>
              </w:rPr>
              <w:t>(5)</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4,789</w:t>
            </w: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209,998</w:t>
            </w:r>
          </w:p>
        </w:tc>
        <w:tc>
          <w:tcPr>
            <w:tcW w:w="0" w:type="dxa"/>
            <w:vAlign w:val="bottom"/>
          </w:tcPr>
          <w:p>
            <w:pPr>
              <w:spacing w:after="0"/>
              <w:rPr>
                <w:sz w:val="1"/>
                <w:szCs w:val="1"/>
                <w:color w:val="auto"/>
              </w:rPr>
            </w:pPr>
          </w:p>
        </w:tc>
      </w:tr>
      <w:tr>
        <w:trPr>
          <w:trHeight w:val="179"/>
        </w:trPr>
        <w:tc>
          <w:tcPr>
            <w:tcW w:w="1620" w:type="dxa"/>
            <w:vAlign w:val="bottom"/>
            <w:shd w:val="clear" w:color="auto" w:fill="DFE4EA"/>
          </w:tcPr>
          <w:p>
            <w:pPr>
              <w:spacing w:after="0"/>
              <w:rPr>
                <w:sz w:val="20"/>
                <w:szCs w:val="20"/>
                <w:color w:val="auto"/>
              </w:rPr>
            </w:pPr>
            <w:r>
              <w:rPr>
                <w:rFonts w:ascii="Arial" w:cs="Arial" w:eastAsia="Arial" w:hAnsi="Arial"/>
                <w:sz w:val="12"/>
                <w:szCs w:val="12"/>
                <w:color w:val="auto"/>
              </w:rPr>
              <w:t>Jean F. Holloway</w:t>
            </w:r>
          </w:p>
        </w:tc>
        <w:tc>
          <w:tcPr>
            <w:tcW w:w="680" w:type="dxa"/>
            <w:vAlign w:val="bottom"/>
            <w:shd w:val="clear" w:color="auto" w:fill="DFE4EA"/>
          </w:tcPr>
          <w:p>
            <w:pPr>
              <w:jc w:val="right"/>
              <w:spacing w:after="0"/>
              <w:rPr>
                <w:sz w:val="20"/>
                <w:szCs w:val="20"/>
                <w:color w:val="auto"/>
              </w:rPr>
            </w:pPr>
            <w:r>
              <w:rPr>
                <w:rFonts w:ascii="Arial" w:cs="Arial" w:eastAsia="Arial" w:hAnsi="Arial"/>
                <w:sz w:val="12"/>
                <w:szCs w:val="12"/>
                <w:color w:val="auto"/>
              </w:rPr>
              <w:t>2/28/25</w:t>
            </w:r>
          </w:p>
        </w:tc>
        <w:tc>
          <w:tcPr>
            <w:tcW w:w="740" w:type="dxa"/>
            <w:vAlign w:val="bottom"/>
            <w:shd w:val="clear" w:color="auto" w:fill="DFE4EA"/>
          </w:tcPr>
          <w:p>
            <w:pPr>
              <w:jc w:val="right"/>
              <w:spacing w:after="0"/>
              <w:rPr>
                <w:sz w:val="20"/>
                <w:szCs w:val="20"/>
                <w:color w:val="auto"/>
              </w:rPr>
            </w:pPr>
            <w:r>
              <w:rPr>
                <w:rFonts w:ascii="Arial" w:cs="Arial" w:eastAsia="Arial" w:hAnsi="Arial"/>
                <w:sz w:val="12"/>
                <w:szCs w:val="12"/>
                <w:color w:val="auto"/>
              </w:rPr>
              <w:t>65,761</w:t>
            </w:r>
          </w:p>
        </w:tc>
        <w:tc>
          <w:tcPr>
            <w:tcW w:w="760" w:type="dxa"/>
            <w:vAlign w:val="bottom"/>
            <w:shd w:val="clear" w:color="auto" w:fill="DFE4EA"/>
          </w:tcPr>
          <w:p>
            <w:pPr>
              <w:jc w:val="right"/>
              <w:ind w:right="20"/>
              <w:spacing w:after="0"/>
              <w:rPr>
                <w:sz w:val="20"/>
                <w:szCs w:val="20"/>
                <w:color w:val="auto"/>
              </w:rPr>
            </w:pPr>
            <w:r>
              <w:rPr>
                <w:rFonts w:ascii="Arial" w:cs="Arial" w:eastAsia="Arial" w:hAnsi="Arial"/>
                <w:sz w:val="12"/>
                <w:szCs w:val="12"/>
                <w:color w:val="auto"/>
              </w:rPr>
              <w:t>219,204</w:t>
            </w: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438,408</w:t>
            </w:r>
          </w:p>
        </w:tc>
        <w:tc>
          <w:tcPr>
            <w:tcW w:w="760" w:type="dxa"/>
            <w:vAlign w:val="bottom"/>
            <w:shd w:val="clear" w:color="auto" w:fill="DFE4EA"/>
          </w:tcPr>
          <w:p>
            <w:pPr>
              <w:spacing w:after="0"/>
              <w:rPr>
                <w:sz w:val="15"/>
                <w:szCs w:val="15"/>
                <w:color w:val="auto"/>
              </w:rPr>
            </w:pPr>
          </w:p>
        </w:tc>
        <w:tc>
          <w:tcPr>
            <w:tcW w:w="640" w:type="dxa"/>
            <w:vAlign w:val="bottom"/>
            <w:shd w:val="clear" w:color="auto" w:fill="DFE4EA"/>
          </w:tcPr>
          <w:p>
            <w:pPr>
              <w:spacing w:after="0"/>
              <w:rPr>
                <w:sz w:val="15"/>
                <w:szCs w:val="15"/>
                <w:color w:val="auto"/>
              </w:rPr>
            </w:pPr>
          </w:p>
        </w:tc>
        <w:tc>
          <w:tcPr>
            <w:tcW w:w="700" w:type="dxa"/>
            <w:vAlign w:val="bottom"/>
            <w:shd w:val="clear" w:color="auto" w:fill="DFE4EA"/>
          </w:tcPr>
          <w:p>
            <w:pPr>
              <w:spacing w:after="0"/>
              <w:rPr>
                <w:sz w:val="15"/>
                <w:szCs w:val="15"/>
                <w:color w:val="auto"/>
              </w:rPr>
            </w:pPr>
          </w:p>
        </w:tc>
        <w:tc>
          <w:tcPr>
            <w:tcW w:w="700" w:type="dxa"/>
            <w:vAlign w:val="bottom"/>
            <w:shd w:val="clear" w:color="auto" w:fill="DFE4EA"/>
          </w:tcPr>
          <w:p>
            <w:pPr>
              <w:spacing w:after="0"/>
              <w:rPr>
                <w:sz w:val="15"/>
                <w:szCs w:val="15"/>
                <w:color w:val="auto"/>
              </w:rPr>
            </w:pPr>
          </w:p>
        </w:tc>
        <w:tc>
          <w:tcPr>
            <w:tcW w:w="740" w:type="dxa"/>
            <w:vAlign w:val="bottom"/>
            <w:shd w:val="clear" w:color="auto" w:fill="DFE4EA"/>
          </w:tcPr>
          <w:p>
            <w:pPr>
              <w:spacing w:after="0"/>
              <w:rPr>
                <w:sz w:val="15"/>
                <w:szCs w:val="15"/>
                <w:color w:val="auto"/>
              </w:rPr>
            </w:pPr>
          </w:p>
        </w:tc>
        <w:tc>
          <w:tcPr>
            <w:tcW w:w="620" w:type="dxa"/>
            <w:vAlign w:val="bottom"/>
            <w:shd w:val="clear" w:color="auto" w:fill="DFE4EA"/>
          </w:tcPr>
          <w:p>
            <w:pPr>
              <w:spacing w:after="0"/>
              <w:rPr>
                <w:sz w:val="15"/>
                <w:szCs w:val="15"/>
                <w:color w:val="auto"/>
              </w:rPr>
            </w:pPr>
          </w:p>
        </w:tc>
        <w:tc>
          <w:tcPr>
            <w:tcW w:w="700" w:type="dxa"/>
            <w:vAlign w:val="bottom"/>
            <w:shd w:val="clear" w:color="auto" w:fill="DFE4EA"/>
          </w:tcPr>
          <w:p>
            <w:pPr>
              <w:spacing w:after="0"/>
              <w:rPr>
                <w:sz w:val="15"/>
                <w:szCs w:val="15"/>
                <w:color w:val="auto"/>
              </w:rPr>
            </w:pPr>
          </w:p>
        </w:tc>
        <w:tc>
          <w:tcPr>
            <w:tcW w:w="660" w:type="dxa"/>
            <w:vAlign w:val="bottom"/>
            <w:shd w:val="clear" w:color="auto" w:fill="DFE4EA"/>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DFE4EA"/>
          </w:tcPr>
          <w:p>
            <w:pPr>
              <w:spacing w:after="0"/>
              <w:rPr>
                <w:sz w:val="17"/>
                <w:szCs w:val="17"/>
                <w:color w:val="auto"/>
              </w:rPr>
            </w:pPr>
          </w:p>
        </w:tc>
        <w:tc>
          <w:tcPr>
            <w:tcW w:w="680" w:type="dxa"/>
            <w:vAlign w:val="bottom"/>
            <w:shd w:val="clear" w:color="auto" w:fill="DFE4EA"/>
          </w:tcPr>
          <w:p>
            <w:pPr>
              <w:jc w:val="right"/>
              <w:spacing w:after="0" w:line="204" w:lineRule="exact"/>
              <w:rPr>
                <w:sz w:val="20"/>
                <w:szCs w:val="20"/>
                <w:color w:val="auto"/>
              </w:rPr>
            </w:pPr>
            <w:r>
              <w:rPr>
                <w:rFonts w:ascii="Arial" w:cs="Arial" w:eastAsia="Arial" w:hAnsi="Arial"/>
                <w:sz w:val="12"/>
                <w:szCs w:val="12"/>
                <w:color w:val="auto"/>
              </w:rPr>
              <w:t>2/28/25</w:t>
            </w:r>
            <w:r>
              <w:rPr>
                <w:rFonts w:ascii="Arial" w:cs="Arial" w:eastAsia="Arial" w:hAnsi="Arial"/>
                <w:sz w:val="18"/>
                <w:szCs w:val="18"/>
                <w:color w:val="auto"/>
                <w:vertAlign w:val="superscript"/>
              </w:rPr>
              <w:t>(2)</w:t>
            </w:r>
          </w:p>
        </w:tc>
        <w:tc>
          <w:tcPr>
            <w:tcW w:w="740" w:type="dxa"/>
            <w:vAlign w:val="bottom"/>
            <w:shd w:val="clear" w:color="auto" w:fill="DFE4EA"/>
          </w:tcPr>
          <w:p>
            <w:pPr>
              <w:spacing w:after="0"/>
              <w:rPr>
                <w:sz w:val="17"/>
                <w:szCs w:val="17"/>
                <w:color w:val="auto"/>
              </w:rPr>
            </w:pPr>
          </w:p>
        </w:tc>
        <w:tc>
          <w:tcPr>
            <w:tcW w:w="76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760" w:type="dxa"/>
            <w:vAlign w:val="bottom"/>
            <w:shd w:val="clear" w:color="auto" w:fill="DFE4EA"/>
          </w:tcPr>
          <w:p>
            <w:pPr>
              <w:spacing w:after="0"/>
              <w:rPr>
                <w:sz w:val="17"/>
                <w:szCs w:val="17"/>
                <w:color w:val="auto"/>
              </w:rPr>
            </w:pPr>
          </w:p>
        </w:tc>
        <w:tc>
          <w:tcPr>
            <w:tcW w:w="64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23,416</w:t>
            </w:r>
          </w:p>
        </w:tc>
        <w:tc>
          <w:tcPr>
            <w:tcW w:w="740" w:type="dxa"/>
            <w:vAlign w:val="bottom"/>
            <w:shd w:val="clear" w:color="auto" w:fill="DFE4EA"/>
          </w:tcPr>
          <w:p>
            <w:pPr>
              <w:spacing w:after="0"/>
              <w:rPr>
                <w:sz w:val="17"/>
                <w:szCs w:val="17"/>
                <w:color w:val="auto"/>
              </w:rPr>
            </w:pPr>
          </w:p>
        </w:tc>
        <w:tc>
          <w:tcPr>
            <w:tcW w:w="62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660" w:type="dxa"/>
            <w:vAlign w:val="bottom"/>
            <w:shd w:val="clear" w:color="auto" w:fill="DFE4EA"/>
          </w:tcPr>
          <w:p>
            <w:pPr>
              <w:jc w:val="right"/>
              <w:spacing w:after="0"/>
              <w:rPr>
                <w:sz w:val="20"/>
                <w:szCs w:val="20"/>
                <w:color w:val="auto"/>
              </w:rPr>
            </w:pPr>
            <w:r>
              <w:rPr>
                <w:rFonts w:ascii="Arial" w:cs="Arial" w:eastAsia="Arial" w:hAnsi="Arial"/>
                <w:sz w:val="12"/>
                <w:szCs w:val="12"/>
                <w:color w:val="auto"/>
              </w:rPr>
              <w:t>595,001</w:t>
            </w:r>
          </w:p>
        </w:tc>
        <w:tc>
          <w:tcPr>
            <w:tcW w:w="0" w:type="dxa"/>
            <w:vAlign w:val="bottom"/>
          </w:tcPr>
          <w:p>
            <w:pPr>
              <w:spacing w:after="0"/>
              <w:rPr>
                <w:sz w:val="1"/>
                <w:szCs w:val="1"/>
                <w:color w:val="auto"/>
              </w:rPr>
            </w:pPr>
          </w:p>
        </w:tc>
      </w:tr>
      <w:tr>
        <w:trPr>
          <w:trHeight w:val="197"/>
        </w:trPr>
        <w:tc>
          <w:tcPr>
            <w:tcW w:w="1620" w:type="dxa"/>
            <w:vAlign w:val="bottom"/>
            <w:shd w:val="clear" w:color="auto" w:fill="DFE4EA"/>
          </w:tcPr>
          <w:p>
            <w:pPr>
              <w:spacing w:after="0"/>
              <w:rPr>
                <w:sz w:val="17"/>
                <w:szCs w:val="17"/>
                <w:color w:val="auto"/>
              </w:rPr>
            </w:pPr>
          </w:p>
        </w:tc>
        <w:tc>
          <w:tcPr>
            <w:tcW w:w="680" w:type="dxa"/>
            <w:vAlign w:val="bottom"/>
            <w:shd w:val="clear" w:color="auto" w:fill="DFE4EA"/>
          </w:tcPr>
          <w:p>
            <w:pPr>
              <w:jc w:val="right"/>
              <w:spacing w:after="0" w:line="197" w:lineRule="exact"/>
              <w:rPr>
                <w:sz w:val="20"/>
                <w:szCs w:val="20"/>
                <w:color w:val="auto"/>
              </w:rPr>
            </w:pPr>
            <w:r>
              <w:rPr>
                <w:rFonts w:ascii="Arial" w:cs="Arial" w:eastAsia="Arial" w:hAnsi="Arial"/>
                <w:sz w:val="12"/>
                <w:szCs w:val="12"/>
                <w:color w:val="auto"/>
              </w:rPr>
              <w:t>2/28/25</w:t>
            </w:r>
            <w:r>
              <w:rPr>
                <w:rFonts w:ascii="Arial" w:cs="Arial" w:eastAsia="Arial" w:hAnsi="Arial"/>
                <w:sz w:val="18"/>
                <w:szCs w:val="18"/>
                <w:color w:val="auto"/>
                <w:vertAlign w:val="superscript"/>
              </w:rPr>
              <w:t>(3)</w:t>
            </w:r>
          </w:p>
        </w:tc>
        <w:tc>
          <w:tcPr>
            <w:tcW w:w="740" w:type="dxa"/>
            <w:vAlign w:val="bottom"/>
            <w:shd w:val="clear" w:color="auto" w:fill="DFE4EA"/>
          </w:tcPr>
          <w:p>
            <w:pPr>
              <w:spacing w:after="0"/>
              <w:rPr>
                <w:sz w:val="17"/>
                <w:szCs w:val="17"/>
                <w:color w:val="auto"/>
              </w:rPr>
            </w:pPr>
          </w:p>
        </w:tc>
        <w:tc>
          <w:tcPr>
            <w:tcW w:w="76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760" w:type="dxa"/>
            <w:vAlign w:val="bottom"/>
            <w:shd w:val="clear" w:color="auto" w:fill="DFE4EA"/>
          </w:tcPr>
          <w:p>
            <w:pPr>
              <w:jc w:val="right"/>
              <w:spacing w:after="0"/>
              <w:rPr>
                <w:sz w:val="20"/>
                <w:szCs w:val="20"/>
                <w:color w:val="auto"/>
              </w:rPr>
            </w:pPr>
            <w:r>
              <w:rPr>
                <w:rFonts w:ascii="Arial" w:cs="Arial" w:eastAsia="Arial" w:hAnsi="Arial"/>
                <w:sz w:val="12"/>
                <w:szCs w:val="12"/>
                <w:color w:val="auto"/>
              </w:rPr>
              <w:t>7,025</w:t>
            </w:r>
          </w:p>
        </w:tc>
        <w:tc>
          <w:tcPr>
            <w:tcW w:w="640" w:type="dxa"/>
            <w:vAlign w:val="bottom"/>
            <w:shd w:val="clear" w:color="auto" w:fill="DFE4EA"/>
          </w:tcPr>
          <w:p>
            <w:pPr>
              <w:ind w:left="220"/>
              <w:spacing w:after="0"/>
              <w:rPr>
                <w:sz w:val="20"/>
                <w:szCs w:val="20"/>
                <w:color w:val="auto"/>
              </w:rPr>
            </w:pPr>
            <w:r>
              <w:rPr>
                <w:rFonts w:ascii="Arial" w:cs="Arial" w:eastAsia="Arial" w:hAnsi="Arial"/>
                <w:sz w:val="12"/>
                <w:szCs w:val="12"/>
                <w:color w:val="auto"/>
              </w:rPr>
              <w:t>23,416</w:t>
            </w: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46,832</w:t>
            </w:r>
          </w:p>
        </w:tc>
        <w:tc>
          <w:tcPr>
            <w:tcW w:w="700" w:type="dxa"/>
            <w:vAlign w:val="bottom"/>
            <w:shd w:val="clear" w:color="auto" w:fill="DFE4EA"/>
          </w:tcPr>
          <w:p>
            <w:pPr>
              <w:spacing w:after="0"/>
              <w:rPr>
                <w:sz w:val="17"/>
                <w:szCs w:val="17"/>
                <w:color w:val="auto"/>
              </w:rPr>
            </w:pPr>
          </w:p>
        </w:tc>
        <w:tc>
          <w:tcPr>
            <w:tcW w:w="740" w:type="dxa"/>
            <w:vAlign w:val="bottom"/>
            <w:shd w:val="clear" w:color="auto" w:fill="DFE4EA"/>
          </w:tcPr>
          <w:p>
            <w:pPr>
              <w:spacing w:after="0"/>
              <w:rPr>
                <w:sz w:val="17"/>
                <w:szCs w:val="17"/>
                <w:color w:val="auto"/>
              </w:rPr>
            </w:pPr>
          </w:p>
        </w:tc>
        <w:tc>
          <w:tcPr>
            <w:tcW w:w="62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660" w:type="dxa"/>
            <w:vAlign w:val="bottom"/>
            <w:shd w:val="clear" w:color="auto" w:fill="DFE4EA"/>
          </w:tcPr>
          <w:p>
            <w:pPr>
              <w:jc w:val="right"/>
              <w:spacing w:after="0"/>
              <w:rPr>
                <w:sz w:val="20"/>
                <w:szCs w:val="20"/>
                <w:color w:val="auto"/>
              </w:rPr>
            </w:pPr>
            <w:r>
              <w:rPr>
                <w:rFonts w:ascii="Arial" w:cs="Arial" w:eastAsia="Arial" w:hAnsi="Arial"/>
                <w:sz w:val="12"/>
                <w:szCs w:val="12"/>
                <w:color w:val="auto"/>
              </w:rPr>
              <w:t>595,001</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20"/>
                <w:szCs w:val="20"/>
                <w:color w:val="auto"/>
              </w:rPr>
            </w:pPr>
            <w:r>
              <w:rPr>
                <w:rFonts w:ascii="Arial" w:cs="Arial" w:eastAsia="Arial" w:hAnsi="Arial"/>
                <w:sz w:val="12"/>
                <w:szCs w:val="12"/>
                <w:color w:val="auto"/>
              </w:rPr>
              <w:t>John E. Davis</w:t>
            </w:r>
          </w:p>
        </w:tc>
        <w:tc>
          <w:tcPr>
            <w:tcW w:w="680" w:type="dxa"/>
            <w:vAlign w:val="bottom"/>
          </w:tcPr>
          <w:p>
            <w:pPr>
              <w:jc w:val="right"/>
              <w:spacing w:after="0"/>
              <w:rPr>
                <w:sz w:val="20"/>
                <w:szCs w:val="20"/>
                <w:color w:val="auto"/>
              </w:rPr>
            </w:pPr>
            <w:r>
              <w:rPr>
                <w:rFonts w:ascii="Arial" w:cs="Arial" w:eastAsia="Arial" w:hAnsi="Arial"/>
                <w:sz w:val="12"/>
                <w:szCs w:val="12"/>
                <w:color w:val="auto"/>
              </w:rPr>
              <w:t>2/28/25</w:t>
            </w:r>
          </w:p>
        </w:tc>
        <w:tc>
          <w:tcPr>
            <w:tcW w:w="740" w:type="dxa"/>
            <w:vAlign w:val="bottom"/>
          </w:tcPr>
          <w:p>
            <w:pPr>
              <w:jc w:val="right"/>
              <w:spacing w:after="0"/>
              <w:rPr>
                <w:sz w:val="20"/>
                <w:szCs w:val="20"/>
                <w:color w:val="auto"/>
              </w:rPr>
            </w:pPr>
            <w:r>
              <w:rPr>
                <w:rFonts w:ascii="Arial" w:cs="Arial" w:eastAsia="Arial" w:hAnsi="Arial"/>
                <w:sz w:val="12"/>
                <w:szCs w:val="12"/>
                <w:color w:val="auto"/>
              </w:rPr>
              <w:t>66,164</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220,548</w:t>
            </w:r>
          </w:p>
        </w:tc>
        <w:tc>
          <w:tcPr>
            <w:tcW w:w="700" w:type="dxa"/>
            <w:vAlign w:val="bottom"/>
          </w:tcPr>
          <w:p>
            <w:pPr>
              <w:jc w:val="right"/>
              <w:spacing w:after="0"/>
              <w:rPr>
                <w:sz w:val="20"/>
                <w:szCs w:val="20"/>
                <w:color w:val="auto"/>
              </w:rPr>
            </w:pPr>
            <w:r>
              <w:rPr>
                <w:rFonts w:ascii="Arial" w:cs="Arial" w:eastAsia="Arial" w:hAnsi="Arial"/>
                <w:sz w:val="12"/>
                <w:szCs w:val="12"/>
                <w:color w:val="auto"/>
              </w:rPr>
              <w:t>441,096</w:t>
            </w: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20" w:type="dxa"/>
            <w:vAlign w:val="bottom"/>
          </w:tcPr>
          <w:p>
            <w:pPr>
              <w:spacing w:after="0"/>
              <w:rPr>
                <w:sz w:val="17"/>
                <w:szCs w:val="17"/>
                <w:color w:val="auto"/>
              </w:rPr>
            </w:pPr>
          </w:p>
        </w:tc>
        <w:tc>
          <w:tcPr>
            <w:tcW w:w="680" w:type="dxa"/>
            <w:vAlign w:val="bottom"/>
          </w:tcPr>
          <w:p>
            <w:pPr>
              <w:jc w:val="right"/>
              <w:spacing w:after="0" w:line="204" w:lineRule="exact"/>
              <w:rPr>
                <w:sz w:val="20"/>
                <w:szCs w:val="20"/>
                <w:color w:val="auto"/>
              </w:rPr>
            </w:pPr>
            <w:r>
              <w:rPr>
                <w:rFonts w:ascii="Arial" w:cs="Arial" w:eastAsia="Arial" w:hAnsi="Arial"/>
                <w:sz w:val="12"/>
                <w:szCs w:val="12"/>
                <w:color w:val="auto"/>
              </w:rPr>
              <w:t xml:space="preserve">2/28/25 </w:t>
            </w:r>
            <w:r>
              <w:rPr>
                <w:rFonts w:ascii="Arial" w:cs="Arial" w:eastAsia="Arial" w:hAnsi="Arial"/>
                <w:sz w:val="18"/>
                <w:szCs w:val="18"/>
                <w:color w:val="auto"/>
                <w:vertAlign w:val="superscript"/>
              </w:rPr>
              <w:t>(2)</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24,301</w:t>
            </w: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617,488</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2"/>
                <w:szCs w:val="12"/>
                <w:color w:val="auto"/>
              </w:rPr>
              <w:t>2/28/25</w:t>
            </w:r>
            <w:r>
              <w:rPr>
                <w:rFonts w:ascii="Arial" w:cs="Arial" w:eastAsia="Arial" w:hAnsi="Arial"/>
                <w:sz w:val="18"/>
                <w:szCs w:val="18"/>
                <w:color w:val="auto"/>
                <w:vertAlign w:val="superscript"/>
              </w:rPr>
              <w:t>(3)</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7,290</w:t>
            </w:r>
          </w:p>
        </w:tc>
        <w:tc>
          <w:tcPr>
            <w:tcW w:w="640" w:type="dxa"/>
            <w:vAlign w:val="bottom"/>
          </w:tcPr>
          <w:p>
            <w:pPr>
              <w:ind w:left="220"/>
              <w:spacing w:after="0"/>
              <w:rPr>
                <w:sz w:val="20"/>
                <w:szCs w:val="20"/>
                <w:color w:val="auto"/>
              </w:rPr>
            </w:pPr>
            <w:r>
              <w:rPr>
                <w:rFonts w:ascii="Arial" w:cs="Arial" w:eastAsia="Arial" w:hAnsi="Arial"/>
                <w:sz w:val="12"/>
                <w:szCs w:val="12"/>
                <w:color w:val="auto"/>
              </w:rPr>
              <w:t>24,301</w:t>
            </w:r>
          </w:p>
        </w:tc>
        <w:tc>
          <w:tcPr>
            <w:tcW w:w="700" w:type="dxa"/>
            <w:vAlign w:val="bottom"/>
          </w:tcPr>
          <w:p>
            <w:pPr>
              <w:jc w:val="right"/>
              <w:spacing w:after="0"/>
              <w:rPr>
                <w:sz w:val="20"/>
                <w:szCs w:val="20"/>
                <w:color w:val="auto"/>
              </w:rPr>
            </w:pPr>
            <w:r>
              <w:rPr>
                <w:rFonts w:ascii="Arial" w:cs="Arial" w:eastAsia="Arial" w:hAnsi="Arial"/>
                <w:sz w:val="12"/>
                <w:szCs w:val="12"/>
                <w:color w:val="auto"/>
              </w:rPr>
              <w:t>48,602</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617,488</w:t>
            </w:r>
          </w:p>
        </w:tc>
        <w:tc>
          <w:tcPr>
            <w:tcW w:w="0" w:type="dxa"/>
            <w:vAlign w:val="bottom"/>
          </w:tcPr>
          <w:p>
            <w:pPr>
              <w:spacing w:after="0"/>
              <w:rPr>
                <w:sz w:val="1"/>
                <w:szCs w:val="1"/>
                <w:color w:val="auto"/>
              </w:rPr>
            </w:pPr>
          </w:p>
        </w:tc>
      </w:tr>
      <w:tr>
        <w:trPr>
          <w:trHeight w:val="179"/>
        </w:trPr>
        <w:tc>
          <w:tcPr>
            <w:tcW w:w="1620" w:type="dxa"/>
            <w:vAlign w:val="bottom"/>
            <w:shd w:val="clear" w:color="auto" w:fill="DFE4EA"/>
          </w:tcPr>
          <w:p>
            <w:pPr>
              <w:spacing w:after="0"/>
              <w:rPr>
                <w:sz w:val="20"/>
                <w:szCs w:val="20"/>
                <w:color w:val="auto"/>
              </w:rPr>
            </w:pPr>
            <w:r>
              <w:rPr>
                <w:rFonts w:ascii="Arial" w:cs="Arial" w:eastAsia="Arial" w:hAnsi="Arial"/>
                <w:sz w:val="12"/>
                <w:szCs w:val="12"/>
                <w:color w:val="auto"/>
              </w:rPr>
              <w:t>Marshall S. Stanton</w:t>
            </w:r>
          </w:p>
        </w:tc>
        <w:tc>
          <w:tcPr>
            <w:tcW w:w="680" w:type="dxa"/>
            <w:vAlign w:val="bottom"/>
            <w:shd w:val="clear" w:color="auto" w:fill="DFE4EA"/>
          </w:tcPr>
          <w:p>
            <w:pPr>
              <w:jc w:val="right"/>
              <w:spacing w:after="0"/>
              <w:rPr>
                <w:sz w:val="20"/>
                <w:szCs w:val="20"/>
                <w:color w:val="auto"/>
              </w:rPr>
            </w:pPr>
            <w:r>
              <w:rPr>
                <w:rFonts w:ascii="Arial" w:cs="Arial" w:eastAsia="Arial" w:hAnsi="Arial"/>
                <w:sz w:val="12"/>
                <w:szCs w:val="12"/>
                <w:color w:val="auto"/>
              </w:rPr>
              <w:t>2/28/25</w:t>
            </w:r>
          </w:p>
        </w:tc>
        <w:tc>
          <w:tcPr>
            <w:tcW w:w="740" w:type="dxa"/>
            <w:vAlign w:val="bottom"/>
            <w:shd w:val="clear" w:color="auto" w:fill="DFE4EA"/>
          </w:tcPr>
          <w:p>
            <w:pPr>
              <w:jc w:val="right"/>
              <w:spacing w:after="0"/>
              <w:rPr>
                <w:sz w:val="20"/>
                <w:szCs w:val="20"/>
                <w:color w:val="auto"/>
              </w:rPr>
            </w:pPr>
            <w:r>
              <w:rPr>
                <w:rFonts w:ascii="Arial" w:cs="Arial" w:eastAsia="Arial" w:hAnsi="Arial"/>
                <w:sz w:val="12"/>
                <w:szCs w:val="12"/>
                <w:color w:val="auto"/>
              </w:rPr>
              <w:t>66,589</w:t>
            </w:r>
          </w:p>
        </w:tc>
        <w:tc>
          <w:tcPr>
            <w:tcW w:w="760" w:type="dxa"/>
            <w:vAlign w:val="bottom"/>
            <w:shd w:val="clear" w:color="auto" w:fill="DFE4EA"/>
          </w:tcPr>
          <w:p>
            <w:pPr>
              <w:jc w:val="right"/>
              <w:ind w:right="20"/>
              <w:spacing w:after="0"/>
              <w:rPr>
                <w:sz w:val="20"/>
                <w:szCs w:val="20"/>
                <w:color w:val="auto"/>
              </w:rPr>
            </w:pPr>
            <w:r>
              <w:rPr>
                <w:rFonts w:ascii="Arial" w:cs="Arial" w:eastAsia="Arial" w:hAnsi="Arial"/>
                <w:sz w:val="12"/>
                <w:szCs w:val="12"/>
                <w:color w:val="auto"/>
              </w:rPr>
              <w:t>221,964</w:t>
            </w: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443,928</w:t>
            </w:r>
          </w:p>
        </w:tc>
        <w:tc>
          <w:tcPr>
            <w:tcW w:w="760" w:type="dxa"/>
            <w:vAlign w:val="bottom"/>
            <w:shd w:val="clear" w:color="auto" w:fill="DFE4EA"/>
          </w:tcPr>
          <w:p>
            <w:pPr>
              <w:spacing w:after="0"/>
              <w:rPr>
                <w:sz w:val="15"/>
                <w:szCs w:val="15"/>
                <w:color w:val="auto"/>
              </w:rPr>
            </w:pPr>
          </w:p>
        </w:tc>
        <w:tc>
          <w:tcPr>
            <w:tcW w:w="640" w:type="dxa"/>
            <w:vAlign w:val="bottom"/>
            <w:shd w:val="clear" w:color="auto" w:fill="DFE4EA"/>
          </w:tcPr>
          <w:p>
            <w:pPr>
              <w:spacing w:after="0"/>
              <w:rPr>
                <w:sz w:val="15"/>
                <w:szCs w:val="15"/>
                <w:color w:val="auto"/>
              </w:rPr>
            </w:pPr>
          </w:p>
        </w:tc>
        <w:tc>
          <w:tcPr>
            <w:tcW w:w="700" w:type="dxa"/>
            <w:vAlign w:val="bottom"/>
            <w:shd w:val="clear" w:color="auto" w:fill="DFE4EA"/>
          </w:tcPr>
          <w:p>
            <w:pPr>
              <w:spacing w:after="0"/>
              <w:rPr>
                <w:sz w:val="15"/>
                <w:szCs w:val="15"/>
                <w:color w:val="auto"/>
              </w:rPr>
            </w:pPr>
          </w:p>
        </w:tc>
        <w:tc>
          <w:tcPr>
            <w:tcW w:w="700" w:type="dxa"/>
            <w:vAlign w:val="bottom"/>
            <w:shd w:val="clear" w:color="auto" w:fill="DFE4EA"/>
          </w:tcPr>
          <w:p>
            <w:pPr>
              <w:spacing w:after="0"/>
              <w:rPr>
                <w:sz w:val="15"/>
                <w:szCs w:val="15"/>
                <w:color w:val="auto"/>
              </w:rPr>
            </w:pPr>
          </w:p>
        </w:tc>
        <w:tc>
          <w:tcPr>
            <w:tcW w:w="740" w:type="dxa"/>
            <w:vAlign w:val="bottom"/>
            <w:shd w:val="clear" w:color="auto" w:fill="DFE4EA"/>
          </w:tcPr>
          <w:p>
            <w:pPr>
              <w:spacing w:after="0"/>
              <w:rPr>
                <w:sz w:val="15"/>
                <w:szCs w:val="15"/>
                <w:color w:val="auto"/>
              </w:rPr>
            </w:pPr>
          </w:p>
        </w:tc>
        <w:tc>
          <w:tcPr>
            <w:tcW w:w="620" w:type="dxa"/>
            <w:vAlign w:val="bottom"/>
            <w:shd w:val="clear" w:color="auto" w:fill="DFE4EA"/>
          </w:tcPr>
          <w:p>
            <w:pPr>
              <w:spacing w:after="0"/>
              <w:rPr>
                <w:sz w:val="15"/>
                <w:szCs w:val="15"/>
                <w:color w:val="auto"/>
              </w:rPr>
            </w:pPr>
          </w:p>
        </w:tc>
        <w:tc>
          <w:tcPr>
            <w:tcW w:w="700" w:type="dxa"/>
            <w:vAlign w:val="bottom"/>
            <w:shd w:val="clear" w:color="auto" w:fill="DFE4EA"/>
          </w:tcPr>
          <w:p>
            <w:pPr>
              <w:spacing w:after="0"/>
              <w:rPr>
                <w:sz w:val="15"/>
                <w:szCs w:val="15"/>
                <w:color w:val="auto"/>
              </w:rPr>
            </w:pPr>
          </w:p>
        </w:tc>
        <w:tc>
          <w:tcPr>
            <w:tcW w:w="660" w:type="dxa"/>
            <w:vAlign w:val="bottom"/>
            <w:shd w:val="clear" w:color="auto" w:fill="DFE4EA"/>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DFE4EA"/>
          </w:tcPr>
          <w:p>
            <w:pPr>
              <w:spacing w:after="0"/>
              <w:rPr>
                <w:sz w:val="17"/>
                <w:szCs w:val="17"/>
                <w:color w:val="auto"/>
              </w:rPr>
            </w:pPr>
          </w:p>
        </w:tc>
        <w:tc>
          <w:tcPr>
            <w:tcW w:w="680" w:type="dxa"/>
            <w:vAlign w:val="bottom"/>
            <w:shd w:val="clear" w:color="auto" w:fill="DFE4EA"/>
          </w:tcPr>
          <w:p>
            <w:pPr>
              <w:jc w:val="right"/>
              <w:spacing w:after="0" w:line="204" w:lineRule="exact"/>
              <w:rPr>
                <w:sz w:val="20"/>
                <w:szCs w:val="20"/>
                <w:color w:val="auto"/>
              </w:rPr>
            </w:pPr>
            <w:r>
              <w:rPr>
                <w:rFonts w:ascii="Arial" w:cs="Arial" w:eastAsia="Arial" w:hAnsi="Arial"/>
                <w:sz w:val="12"/>
                <w:szCs w:val="12"/>
                <w:color w:val="auto"/>
              </w:rPr>
              <w:t>2/28/25</w:t>
            </w:r>
            <w:r>
              <w:rPr>
                <w:rFonts w:ascii="Arial" w:cs="Arial" w:eastAsia="Arial" w:hAnsi="Arial"/>
                <w:sz w:val="18"/>
                <w:szCs w:val="18"/>
                <w:color w:val="auto"/>
                <w:vertAlign w:val="superscript"/>
              </w:rPr>
              <w:t>(2)</w:t>
            </w:r>
          </w:p>
        </w:tc>
        <w:tc>
          <w:tcPr>
            <w:tcW w:w="740" w:type="dxa"/>
            <w:vAlign w:val="bottom"/>
            <w:shd w:val="clear" w:color="auto" w:fill="DFE4EA"/>
          </w:tcPr>
          <w:p>
            <w:pPr>
              <w:spacing w:after="0"/>
              <w:rPr>
                <w:sz w:val="17"/>
                <w:szCs w:val="17"/>
                <w:color w:val="auto"/>
              </w:rPr>
            </w:pPr>
          </w:p>
        </w:tc>
        <w:tc>
          <w:tcPr>
            <w:tcW w:w="76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760" w:type="dxa"/>
            <w:vAlign w:val="bottom"/>
            <w:shd w:val="clear" w:color="auto" w:fill="DFE4EA"/>
          </w:tcPr>
          <w:p>
            <w:pPr>
              <w:spacing w:after="0"/>
              <w:rPr>
                <w:sz w:val="17"/>
                <w:szCs w:val="17"/>
                <w:color w:val="auto"/>
              </w:rPr>
            </w:pPr>
          </w:p>
        </w:tc>
        <w:tc>
          <w:tcPr>
            <w:tcW w:w="64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18,398</w:t>
            </w:r>
          </w:p>
        </w:tc>
        <w:tc>
          <w:tcPr>
            <w:tcW w:w="740" w:type="dxa"/>
            <w:vAlign w:val="bottom"/>
            <w:shd w:val="clear" w:color="auto" w:fill="DFE4EA"/>
          </w:tcPr>
          <w:p>
            <w:pPr>
              <w:spacing w:after="0"/>
              <w:rPr>
                <w:sz w:val="17"/>
                <w:szCs w:val="17"/>
                <w:color w:val="auto"/>
              </w:rPr>
            </w:pPr>
          </w:p>
        </w:tc>
        <w:tc>
          <w:tcPr>
            <w:tcW w:w="62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660" w:type="dxa"/>
            <w:vAlign w:val="bottom"/>
            <w:shd w:val="clear" w:color="auto" w:fill="DFE4EA"/>
          </w:tcPr>
          <w:p>
            <w:pPr>
              <w:jc w:val="right"/>
              <w:spacing w:after="0"/>
              <w:rPr>
                <w:sz w:val="20"/>
                <w:szCs w:val="20"/>
                <w:color w:val="auto"/>
              </w:rPr>
            </w:pPr>
            <w:r>
              <w:rPr>
                <w:rFonts w:ascii="Arial" w:cs="Arial" w:eastAsia="Arial" w:hAnsi="Arial"/>
                <w:sz w:val="12"/>
                <w:szCs w:val="12"/>
                <w:color w:val="auto"/>
              </w:rPr>
              <w:t>467,493</w:t>
            </w:r>
          </w:p>
        </w:tc>
        <w:tc>
          <w:tcPr>
            <w:tcW w:w="0" w:type="dxa"/>
            <w:vAlign w:val="bottom"/>
          </w:tcPr>
          <w:p>
            <w:pPr>
              <w:spacing w:after="0"/>
              <w:rPr>
                <w:sz w:val="1"/>
                <w:szCs w:val="1"/>
                <w:color w:val="auto"/>
              </w:rPr>
            </w:pPr>
          </w:p>
        </w:tc>
      </w:tr>
      <w:tr>
        <w:trPr>
          <w:trHeight w:val="197"/>
        </w:trPr>
        <w:tc>
          <w:tcPr>
            <w:tcW w:w="1620" w:type="dxa"/>
            <w:vAlign w:val="bottom"/>
            <w:shd w:val="clear" w:color="auto" w:fill="DFE4EA"/>
          </w:tcPr>
          <w:p>
            <w:pPr>
              <w:spacing w:after="0"/>
              <w:rPr>
                <w:sz w:val="17"/>
                <w:szCs w:val="17"/>
                <w:color w:val="auto"/>
              </w:rPr>
            </w:pPr>
          </w:p>
        </w:tc>
        <w:tc>
          <w:tcPr>
            <w:tcW w:w="680" w:type="dxa"/>
            <w:vAlign w:val="bottom"/>
            <w:shd w:val="clear" w:color="auto" w:fill="DFE4EA"/>
          </w:tcPr>
          <w:p>
            <w:pPr>
              <w:jc w:val="right"/>
              <w:spacing w:after="0" w:line="197" w:lineRule="exact"/>
              <w:rPr>
                <w:sz w:val="20"/>
                <w:szCs w:val="20"/>
                <w:color w:val="auto"/>
              </w:rPr>
            </w:pPr>
            <w:r>
              <w:rPr>
                <w:rFonts w:ascii="Arial" w:cs="Arial" w:eastAsia="Arial" w:hAnsi="Arial"/>
                <w:sz w:val="12"/>
                <w:szCs w:val="12"/>
                <w:color w:val="auto"/>
              </w:rPr>
              <w:t>2/28/25</w:t>
            </w:r>
            <w:r>
              <w:rPr>
                <w:rFonts w:ascii="Arial" w:cs="Arial" w:eastAsia="Arial" w:hAnsi="Arial"/>
                <w:sz w:val="18"/>
                <w:szCs w:val="18"/>
                <w:color w:val="auto"/>
                <w:vertAlign w:val="superscript"/>
              </w:rPr>
              <w:t>(3)</w:t>
            </w:r>
          </w:p>
        </w:tc>
        <w:tc>
          <w:tcPr>
            <w:tcW w:w="740" w:type="dxa"/>
            <w:vAlign w:val="bottom"/>
            <w:shd w:val="clear" w:color="auto" w:fill="DFE4EA"/>
          </w:tcPr>
          <w:p>
            <w:pPr>
              <w:spacing w:after="0"/>
              <w:rPr>
                <w:sz w:val="17"/>
                <w:szCs w:val="17"/>
                <w:color w:val="auto"/>
              </w:rPr>
            </w:pPr>
          </w:p>
        </w:tc>
        <w:tc>
          <w:tcPr>
            <w:tcW w:w="76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760" w:type="dxa"/>
            <w:vAlign w:val="bottom"/>
            <w:shd w:val="clear" w:color="auto" w:fill="DFE4EA"/>
          </w:tcPr>
          <w:p>
            <w:pPr>
              <w:jc w:val="right"/>
              <w:spacing w:after="0"/>
              <w:rPr>
                <w:sz w:val="20"/>
                <w:szCs w:val="20"/>
                <w:color w:val="auto"/>
              </w:rPr>
            </w:pPr>
            <w:r>
              <w:rPr>
                <w:rFonts w:ascii="Arial" w:cs="Arial" w:eastAsia="Arial" w:hAnsi="Arial"/>
                <w:sz w:val="12"/>
                <w:szCs w:val="12"/>
                <w:color w:val="auto"/>
              </w:rPr>
              <w:t>5,519</w:t>
            </w:r>
          </w:p>
        </w:tc>
        <w:tc>
          <w:tcPr>
            <w:tcW w:w="640" w:type="dxa"/>
            <w:vAlign w:val="bottom"/>
            <w:shd w:val="clear" w:color="auto" w:fill="DFE4EA"/>
          </w:tcPr>
          <w:p>
            <w:pPr>
              <w:ind w:left="220"/>
              <w:spacing w:after="0"/>
              <w:rPr>
                <w:sz w:val="20"/>
                <w:szCs w:val="20"/>
                <w:color w:val="auto"/>
              </w:rPr>
            </w:pPr>
            <w:r>
              <w:rPr>
                <w:rFonts w:ascii="Arial" w:cs="Arial" w:eastAsia="Arial" w:hAnsi="Arial"/>
                <w:sz w:val="12"/>
                <w:szCs w:val="12"/>
                <w:color w:val="auto"/>
              </w:rPr>
              <w:t>18,398</w:t>
            </w:r>
          </w:p>
        </w:tc>
        <w:tc>
          <w:tcPr>
            <w:tcW w:w="700" w:type="dxa"/>
            <w:vAlign w:val="bottom"/>
            <w:shd w:val="clear" w:color="auto" w:fill="DFE4EA"/>
          </w:tcPr>
          <w:p>
            <w:pPr>
              <w:jc w:val="right"/>
              <w:spacing w:after="0"/>
              <w:rPr>
                <w:sz w:val="20"/>
                <w:szCs w:val="20"/>
                <w:color w:val="auto"/>
              </w:rPr>
            </w:pPr>
            <w:r>
              <w:rPr>
                <w:rFonts w:ascii="Arial" w:cs="Arial" w:eastAsia="Arial" w:hAnsi="Arial"/>
                <w:sz w:val="12"/>
                <w:szCs w:val="12"/>
                <w:color w:val="auto"/>
              </w:rPr>
              <w:t>36,796</w:t>
            </w:r>
          </w:p>
        </w:tc>
        <w:tc>
          <w:tcPr>
            <w:tcW w:w="700" w:type="dxa"/>
            <w:vAlign w:val="bottom"/>
            <w:shd w:val="clear" w:color="auto" w:fill="DFE4EA"/>
          </w:tcPr>
          <w:p>
            <w:pPr>
              <w:spacing w:after="0"/>
              <w:rPr>
                <w:sz w:val="17"/>
                <w:szCs w:val="17"/>
                <w:color w:val="auto"/>
              </w:rPr>
            </w:pPr>
          </w:p>
        </w:tc>
        <w:tc>
          <w:tcPr>
            <w:tcW w:w="740" w:type="dxa"/>
            <w:vAlign w:val="bottom"/>
            <w:shd w:val="clear" w:color="auto" w:fill="DFE4EA"/>
          </w:tcPr>
          <w:p>
            <w:pPr>
              <w:spacing w:after="0"/>
              <w:rPr>
                <w:sz w:val="17"/>
                <w:szCs w:val="17"/>
                <w:color w:val="auto"/>
              </w:rPr>
            </w:pPr>
          </w:p>
        </w:tc>
        <w:tc>
          <w:tcPr>
            <w:tcW w:w="620" w:type="dxa"/>
            <w:vAlign w:val="bottom"/>
            <w:shd w:val="clear" w:color="auto" w:fill="DFE4EA"/>
          </w:tcPr>
          <w:p>
            <w:pPr>
              <w:spacing w:after="0"/>
              <w:rPr>
                <w:sz w:val="17"/>
                <w:szCs w:val="17"/>
                <w:color w:val="auto"/>
              </w:rPr>
            </w:pPr>
          </w:p>
        </w:tc>
        <w:tc>
          <w:tcPr>
            <w:tcW w:w="700" w:type="dxa"/>
            <w:vAlign w:val="bottom"/>
            <w:shd w:val="clear" w:color="auto" w:fill="DFE4EA"/>
          </w:tcPr>
          <w:p>
            <w:pPr>
              <w:spacing w:after="0"/>
              <w:rPr>
                <w:sz w:val="17"/>
                <w:szCs w:val="17"/>
                <w:color w:val="auto"/>
              </w:rPr>
            </w:pPr>
          </w:p>
        </w:tc>
        <w:tc>
          <w:tcPr>
            <w:tcW w:w="660" w:type="dxa"/>
            <w:vAlign w:val="bottom"/>
            <w:shd w:val="clear" w:color="auto" w:fill="DFE4EA"/>
          </w:tcPr>
          <w:p>
            <w:pPr>
              <w:jc w:val="right"/>
              <w:spacing w:after="0"/>
              <w:rPr>
                <w:sz w:val="20"/>
                <w:szCs w:val="20"/>
                <w:color w:val="auto"/>
              </w:rPr>
            </w:pPr>
            <w:r>
              <w:rPr>
                <w:rFonts w:ascii="Arial" w:cs="Arial" w:eastAsia="Arial" w:hAnsi="Arial"/>
                <w:sz w:val="12"/>
                <w:szCs w:val="12"/>
                <w:color w:val="auto"/>
              </w:rPr>
              <w:t>467,493</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220" w:hanging="219"/>
        <w:spacing w:after="0" w:line="228" w:lineRule="auto"/>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These columns represent the awards granted to NEOs in February 2025 under our 2025 short-term incentive program (the Cash Bonus Plan) using the metrics of the 2025 Cash Bonus Plan approved by the Committee. The threshold for (i) the revenue component is 8.0% constant currency growth, which pays out at 30% of target and (ii) the EBITDA growth component is 16% constant currency adjusted EBITDA growth, which pays out at 30% of target, each weighted at 50%, resulting in a combined threshold payout at 30% of target. The personal performance modifier was designed to increase or decrease an award by 20%. The total cash bonus payout is capped at 200% of target. The threshold is calculated at target personal performance (no modifier up or down). While this table reflects the grant date value of the awards, as described on page 27, the Committee approved payouts were made at 118.7% of target based on actual Company performance.</w:t>
      </w:r>
    </w:p>
    <w:p>
      <w:pPr>
        <w:spacing w:after="0" w:line="117"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These rows represent awards of time-based restricted stock units that vest 1/3 on the first anniversary of the award date;1/3 on the second anniversary of the award date; and 1/3 on the third anniversary of the award date.</w:t>
      </w:r>
    </w:p>
    <w:p>
      <w:pPr>
        <w:spacing w:after="0" w:line="118" w:lineRule="exact"/>
        <w:rPr>
          <w:rFonts w:ascii="Arial" w:cs="Arial" w:eastAsia="Arial" w:hAnsi="Arial"/>
          <w:sz w:val="22"/>
          <w:szCs w:val="22"/>
          <w:color w:val="auto"/>
          <w:vertAlign w:val="superscript"/>
        </w:rPr>
      </w:pPr>
    </w:p>
    <w:p>
      <w:pPr>
        <w:jc w:val="both"/>
        <w:ind w:left="220" w:hanging="219"/>
        <w:spacing w:after="0" w:line="230" w:lineRule="auto"/>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These rows represent awards of performance stock units to our NEOs pursuant to the 2020 ECIP using the metrics of the 2025 performance share plan approved by the Committee. The threshold for (i) the revenue component is 8.0% constant currency growth, which pays out at 30% of target, (ii) the EBITDA growth component is 16% constant currency adjusted EBITDA growth, which pays out at 30% of target, each weighted at 50%, resulting in a combined threshold payout at 30% of target. The total PSU bonus payout is capped at 200% of target. In regard to the annual PSU awards, granted February 28, 2025, 1/3 vested on the first anniversary of the grant date or the first available grant date following the Committee’s certification of the 2025 financial performance, whichever is later (for the 2025 award, 1/3 vested on February 28, 2026, the first date that the awards could be released following the date that the Company filed its Form 10-K for fiscal 2025), 1/3 will vest on the second anniversary of the grant date, and 1/3 will vest on the third anniversary of the grant date, assuming continuous employment through the vesting date. While this table reflects the grant date value of the awards, as described on page 27, the Committee approved 2025 annual PSU award payouts at 118.7% of target based on actual Company performance.</w:t>
      </w:r>
    </w:p>
    <w:p>
      <w:pPr>
        <w:spacing w:after="0" w:line="112"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This row reflects the estimated possible payouts for non-equity incentive plan awards reflective of Mr. Berry’s prorated 2025 base salary based on his August 2025 appointment as COO and associated base salary and bonus target increases.</w:t>
      </w:r>
    </w:p>
    <w:p>
      <w:pPr>
        <w:spacing w:after="0" w:line="49" w:lineRule="exact"/>
        <w:rPr>
          <w:rFonts w:ascii="Arial" w:cs="Arial" w:eastAsia="Arial" w:hAnsi="Arial"/>
          <w:sz w:val="22"/>
          <w:szCs w:val="22"/>
          <w:color w:val="auto"/>
          <w:vertAlign w:val="superscript"/>
        </w:rPr>
      </w:pPr>
    </w:p>
    <w:p>
      <w:pPr>
        <w:ind w:left="220" w:hanging="219"/>
        <w:spacing w:after="0"/>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Mr. Berry received an off-cycle equity grant in connection with his August 2025 appointment as COO.</w:t>
      </w:r>
    </w:p>
    <w:p>
      <w:pPr>
        <w:spacing w:after="0" w:line="117"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Column (m) reflects the aggregate grant date fair value of restricted stock and performance stock unit awards as calculated in accordance with FASB ASC Topic 718, disregarding the estimate of forfeitures. For time-based RSUs and for PSUs, the calculation is based on the closing price of Artivion’s common stock on the date of grant. See Notes 1 and 14 of the Notes to Consolidated Financial Statements filed with Artivion’s Annual Report on Form 10-K for the year ended December 31, 2025, for assumptions we used in valuing these awards.</w:t>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46" w:name="page47"/>
    <w:bookmarkEnd w:id="46"/>
    <w:p>
      <w:pPr>
        <w:ind w:right="2360"/>
        <w:spacing w:after="0" w:line="380" w:lineRule="auto"/>
        <w:rPr>
          <w:sz w:val="20"/>
          <w:szCs w:val="20"/>
          <w:color w:val="auto"/>
        </w:rPr>
      </w:pPr>
      <w:r>
        <w:rPr>
          <w:rFonts w:ascii="Arial" w:cs="Arial" w:eastAsia="Arial" w:hAnsi="Arial"/>
          <w:sz w:val="17"/>
          <w:szCs w:val="17"/>
          <w:b w:val="1"/>
          <w:bCs w:val="1"/>
          <w:i w:val="1"/>
          <w:iCs w:val="1"/>
          <w:color w:val="auto"/>
        </w:rPr>
        <w:t xml:space="preserve">Narrative Disclosure to Summary Compensation Table and Grants of Plan-Based Awards Table </w:t>
      </w:r>
      <w:r>
        <w:rPr>
          <w:rFonts w:ascii="Arial" w:cs="Arial" w:eastAsia="Arial" w:hAnsi="Arial"/>
          <w:sz w:val="17"/>
          <w:szCs w:val="17"/>
          <w:i w:val="1"/>
          <w:iCs w:val="1"/>
          <w:color w:val="auto"/>
        </w:rPr>
        <w:t>Equity Awards</w:t>
      </w:r>
    </w:p>
    <w:p>
      <w:pPr>
        <w:ind w:firstLine="334"/>
        <w:spacing w:after="0" w:line="285" w:lineRule="auto"/>
        <w:rPr>
          <w:sz w:val="20"/>
          <w:szCs w:val="20"/>
          <w:color w:val="auto"/>
        </w:rPr>
      </w:pPr>
      <w:r>
        <w:rPr>
          <w:rFonts w:ascii="Arial" w:cs="Arial" w:eastAsia="Arial" w:hAnsi="Arial"/>
          <w:sz w:val="15"/>
          <w:szCs w:val="15"/>
          <w:color w:val="auto"/>
        </w:rPr>
        <w:t>Equity awards, including long-term performance annual awards, granted in fiscal 2025 to our Named Executive Officers were subject to the terms of the 2020 ECIP and the equity grant agreements.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Actual Cash Compensation in Proportion to Target Total Direct Compensation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Salary (actual as paid) and Bonus Payouts (as adjusted and paid) in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Proportion to Target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1270</wp:posOffset>
            </wp:positionV>
            <wp:extent cx="461073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610735" cy="7620"/>
                    </a:xfrm>
                    <a:prstGeom prst="rect">
                      <a:avLst/>
                    </a:prstGeom>
                    <a:noFill/>
                  </pic:spPr>
                </pic:pic>
              </a:graphicData>
            </a:graphic>
          </wp:anchor>
        </w:drawing>
      </w:r>
    </w:p>
    <w:p>
      <w:pPr>
        <w:spacing w:after="0" w:line="23"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2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500" w:type="dxa"/>
            <w:vAlign w:val="bottom"/>
            <w:tcBorders>
              <w:bottom w:val="single" w:sz="8" w:color="auto"/>
            </w:tcBorders>
            <w:gridSpan w:val="2"/>
          </w:tcPr>
          <w:p>
            <w:pPr>
              <w:ind w:left="460"/>
              <w:spacing w:after="0"/>
              <w:rPr>
                <w:sz w:val="20"/>
                <w:szCs w:val="20"/>
                <w:color w:val="auto"/>
              </w:rPr>
            </w:pPr>
            <w:r>
              <w:rPr>
                <w:rFonts w:ascii="Arial" w:cs="Arial" w:eastAsia="Arial" w:hAnsi="Arial"/>
                <w:sz w:val="15"/>
                <w:szCs w:val="15"/>
                <w:b w:val="1"/>
                <w:bCs w:val="1"/>
                <w:color w:val="auto"/>
              </w:rPr>
              <w:t>Short-Term Incentive (Cash Bonus)</w:t>
            </w:r>
          </w:p>
        </w:tc>
      </w:tr>
      <w:tr>
        <w:trPr>
          <w:trHeight w:val="192"/>
        </w:trPr>
        <w:tc>
          <w:tcPr>
            <w:tcW w:w="2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80" w:type="dxa"/>
            <w:vAlign w:val="bottom"/>
          </w:tcPr>
          <w:p>
            <w:pPr>
              <w:jc w:val="center"/>
              <w:ind w:left="143"/>
              <w:spacing w:after="0"/>
              <w:rPr>
                <w:sz w:val="20"/>
                <w:szCs w:val="20"/>
                <w:color w:val="auto"/>
              </w:rPr>
            </w:pPr>
            <w:r>
              <w:rPr>
                <w:rFonts w:ascii="Arial" w:cs="Arial" w:eastAsia="Arial" w:hAnsi="Arial"/>
                <w:sz w:val="15"/>
                <w:szCs w:val="15"/>
                <w:b w:val="1"/>
                <w:bCs w:val="1"/>
                <w:color w:val="auto"/>
              </w:rPr>
              <w:t>% Non-Equity Incentive</w:t>
            </w:r>
          </w:p>
        </w:tc>
      </w:tr>
      <w:tr>
        <w:trPr>
          <w:trHeight w:val="224"/>
        </w:trPr>
        <w:tc>
          <w:tcPr>
            <w:tcW w:w="224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rPr>
              <w:t>Executive Officer</w:t>
            </w:r>
          </w:p>
        </w:tc>
        <w:tc>
          <w:tcPr>
            <w:tcW w:w="1520" w:type="dxa"/>
            <w:vAlign w:val="bottom"/>
            <w:tcBorders>
              <w:bottom w:val="single" w:sz="8" w:color="auto"/>
            </w:tcBorders>
          </w:tcPr>
          <w:p>
            <w:pPr>
              <w:jc w:val="center"/>
              <w:ind w:left="3"/>
              <w:spacing w:after="0"/>
              <w:rPr>
                <w:sz w:val="20"/>
                <w:szCs w:val="20"/>
                <w:color w:val="auto"/>
              </w:rPr>
            </w:pPr>
            <w:r>
              <w:rPr>
                <w:rFonts w:ascii="Arial" w:cs="Arial" w:eastAsia="Arial" w:hAnsi="Arial"/>
                <w:sz w:val="15"/>
                <w:szCs w:val="15"/>
                <w:b w:val="1"/>
                <w:bCs w:val="1"/>
                <w:color w:val="auto"/>
              </w:rPr>
              <w:t>% Salary</w:t>
            </w:r>
          </w:p>
        </w:tc>
        <w:tc>
          <w:tcPr>
            <w:tcW w:w="1520" w:type="dxa"/>
            <w:vAlign w:val="bottom"/>
            <w:tcBorders>
              <w:bottom w:val="single" w:sz="8" w:color="auto"/>
            </w:tcBorders>
          </w:tcPr>
          <w:p>
            <w:pPr>
              <w:jc w:val="center"/>
              <w:ind w:left="143"/>
              <w:spacing w:after="0" w:line="217" w:lineRule="exact"/>
              <w:rPr>
                <w:sz w:val="20"/>
                <w:szCs w:val="20"/>
                <w:color w:val="auto"/>
              </w:rPr>
            </w:pPr>
            <w:r>
              <w:rPr>
                <w:rFonts w:ascii="Arial" w:cs="Arial" w:eastAsia="Arial" w:hAnsi="Arial"/>
                <w:sz w:val="15"/>
                <w:szCs w:val="15"/>
                <w:b w:val="1"/>
                <w:bCs w:val="1"/>
                <w:color w:val="auto"/>
                <w:w w:val="97"/>
              </w:rPr>
              <w:t>% Bonus</w:t>
            </w:r>
            <w:r>
              <w:rPr>
                <w:rFonts w:ascii="Arial" w:cs="Arial" w:eastAsia="Arial" w:hAnsi="Arial"/>
                <w:sz w:val="24"/>
                <w:szCs w:val="24"/>
                <w:b w:val="1"/>
                <w:bCs w:val="1"/>
                <w:color w:val="auto"/>
                <w:w w:val="97"/>
                <w:vertAlign w:val="superscript"/>
              </w:rPr>
              <w:t>(1)</w:t>
            </w:r>
          </w:p>
        </w:tc>
        <w:tc>
          <w:tcPr>
            <w:tcW w:w="1980" w:type="dxa"/>
            <w:vAlign w:val="bottom"/>
            <w:tcBorders>
              <w:bottom w:val="single" w:sz="8" w:color="auto"/>
            </w:tcBorders>
          </w:tcPr>
          <w:p>
            <w:pPr>
              <w:jc w:val="center"/>
              <w:ind w:left="143"/>
              <w:spacing w:after="0" w:line="217" w:lineRule="exact"/>
              <w:rPr>
                <w:sz w:val="20"/>
                <w:szCs w:val="20"/>
                <w:color w:val="auto"/>
              </w:rPr>
            </w:pPr>
            <w:r>
              <w:rPr>
                <w:rFonts w:ascii="Arial" w:cs="Arial" w:eastAsia="Arial" w:hAnsi="Arial"/>
                <w:sz w:val="15"/>
                <w:szCs w:val="15"/>
                <w:b w:val="1"/>
                <w:bCs w:val="1"/>
                <w:color w:val="auto"/>
                <w:w w:val="93"/>
              </w:rPr>
              <w:t>Plan</w:t>
            </w:r>
            <w:r>
              <w:rPr>
                <w:rFonts w:ascii="Arial" w:cs="Arial" w:eastAsia="Arial" w:hAnsi="Arial"/>
                <w:sz w:val="24"/>
                <w:szCs w:val="24"/>
                <w:b w:val="1"/>
                <w:bCs w:val="1"/>
                <w:color w:val="auto"/>
                <w:w w:val="93"/>
                <w:vertAlign w:val="superscript"/>
              </w:rPr>
              <w:t>(2)</w:t>
            </w:r>
          </w:p>
        </w:tc>
      </w:tr>
      <w:tr>
        <w:trPr>
          <w:trHeight w:val="228"/>
        </w:trPr>
        <w:tc>
          <w:tcPr>
            <w:tcW w:w="2240" w:type="dxa"/>
            <w:vAlign w:val="bottom"/>
            <w:shd w:val="clear" w:color="auto" w:fill="DFE4EA"/>
          </w:tcPr>
          <w:p>
            <w:pPr>
              <w:spacing w:after="0"/>
              <w:rPr>
                <w:sz w:val="20"/>
                <w:szCs w:val="20"/>
                <w:color w:val="auto"/>
              </w:rPr>
            </w:pPr>
            <w:r>
              <w:rPr>
                <w:rFonts w:ascii="Arial" w:cs="Arial" w:eastAsia="Arial" w:hAnsi="Arial"/>
                <w:sz w:val="15"/>
                <w:szCs w:val="15"/>
                <w:color w:val="auto"/>
              </w:rPr>
              <w:t>J. Patrick Mackin</w:t>
            </w:r>
          </w:p>
        </w:tc>
        <w:tc>
          <w:tcPr>
            <w:tcW w:w="15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12.5</w:t>
            </w:r>
          </w:p>
        </w:tc>
        <w:tc>
          <w:tcPr>
            <w:tcW w:w="1520" w:type="dxa"/>
            <w:vAlign w:val="bottom"/>
            <w:shd w:val="clear" w:color="auto" w:fill="DFE4EA"/>
          </w:tcPr>
          <w:p>
            <w:pPr>
              <w:jc w:val="center"/>
              <w:ind w:left="143"/>
              <w:spacing w:after="0"/>
              <w:rPr>
                <w:sz w:val="20"/>
                <w:szCs w:val="20"/>
                <w:color w:val="auto"/>
              </w:rPr>
            </w:pPr>
            <w:r>
              <w:rPr>
                <w:rFonts w:ascii="Arial" w:cs="Arial" w:eastAsia="Arial" w:hAnsi="Arial"/>
                <w:sz w:val="15"/>
                <w:szCs w:val="15"/>
                <w:color w:val="auto"/>
              </w:rPr>
              <w:t>0.0</w:t>
            </w:r>
          </w:p>
        </w:tc>
        <w:tc>
          <w:tcPr>
            <w:tcW w:w="1980" w:type="dxa"/>
            <w:vAlign w:val="bottom"/>
            <w:shd w:val="clear" w:color="auto" w:fill="DFE4EA"/>
          </w:tcPr>
          <w:p>
            <w:pPr>
              <w:jc w:val="center"/>
              <w:ind w:left="163"/>
              <w:spacing w:after="0"/>
              <w:rPr>
                <w:sz w:val="20"/>
                <w:szCs w:val="20"/>
                <w:color w:val="auto"/>
              </w:rPr>
            </w:pPr>
            <w:r>
              <w:rPr>
                <w:rFonts w:ascii="Arial" w:cs="Arial" w:eastAsia="Arial" w:hAnsi="Arial"/>
                <w:sz w:val="15"/>
                <w:szCs w:val="15"/>
                <w:color w:val="auto"/>
              </w:rPr>
              <w:t>14.8</w:t>
            </w:r>
          </w:p>
        </w:tc>
      </w:tr>
      <w:tr>
        <w:trPr>
          <w:trHeight w:val="216"/>
        </w:trPr>
        <w:tc>
          <w:tcPr>
            <w:tcW w:w="2240" w:type="dxa"/>
            <w:vAlign w:val="bottom"/>
          </w:tcPr>
          <w:p>
            <w:pPr>
              <w:spacing w:after="0"/>
              <w:rPr>
                <w:sz w:val="20"/>
                <w:szCs w:val="20"/>
                <w:color w:val="auto"/>
              </w:rPr>
            </w:pPr>
            <w:r>
              <w:rPr>
                <w:rFonts w:ascii="Arial" w:cs="Arial" w:eastAsia="Arial" w:hAnsi="Arial"/>
                <w:sz w:val="15"/>
                <w:szCs w:val="15"/>
                <w:color w:val="auto"/>
              </w:rPr>
              <w:t>Lance A. Berry</w:t>
            </w:r>
          </w:p>
        </w:tc>
        <w:tc>
          <w:tcPr>
            <w:tcW w:w="1520" w:type="dxa"/>
            <w:vAlign w:val="bottom"/>
          </w:tcPr>
          <w:p>
            <w:pPr>
              <w:jc w:val="center"/>
              <w:spacing w:after="0"/>
              <w:rPr>
                <w:sz w:val="20"/>
                <w:szCs w:val="20"/>
                <w:color w:val="auto"/>
              </w:rPr>
            </w:pPr>
            <w:r>
              <w:rPr>
                <w:rFonts w:ascii="Arial" w:cs="Arial" w:eastAsia="Arial" w:hAnsi="Arial"/>
                <w:sz w:val="15"/>
                <w:szCs w:val="15"/>
                <w:color w:val="auto"/>
              </w:rPr>
              <w:t>18.6</w:t>
            </w:r>
          </w:p>
        </w:tc>
        <w:tc>
          <w:tcPr>
            <w:tcW w:w="1520" w:type="dxa"/>
            <w:vAlign w:val="bottom"/>
          </w:tcPr>
          <w:p>
            <w:pPr>
              <w:jc w:val="center"/>
              <w:ind w:left="143"/>
              <w:spacing w:after="0"/>
              <w:rPr>
                <w:sz w:val="20"/>
                <w:szCs w:val="20"/>
                <w:color w:val="auto"/>
              </w:rPr>
            </w:pPr>
            <w:r>
              <w:rPr>
                <w:rFonts w:ascii="Arial" w:cs="Arial" w:eastAsia="Arial" w:hAnsi="Arial"/>
                <w:sz w:val="15"/>
                <w:szCs w:val="15"/>
                <w:color w:val="auto"/>
              </w:rPr>
              <w:t>0.0</w:t>
            </w:r>
          </w:p>
        </w:tc>
        <w:tc>
          <w:tcPr>
            <w:tcW w:w="1980" w:type="dxa"/>
            <w:vAlign w:val="bottom"/>
          </w:tcPr>
          <w:p>
            <w:pPr>
              <w:jc w:val="center"/>
              <w:ind w:left="163"/>
              <w:spacing w:after="0"/>
              <w:rPr>
                <w:sz w:val="20"/>
                <w:szCs w:val="20"/>
                <w:color w:val="auto"/>
              </w:rPr>
            </w:pPr>
            <w:r>
              <w:rPr>
                <w:rFonts w:ascii="Arial" w:cs="Arial" w:eastAsia="Arial" w:hAnsi="Arial"/>
                <w:sz w:val="15"/>
                <w:szCs w:val="15"/>
                <w:color w:val="auto"/>
              </w:rPr>
              <w:t>14.2</w:t>
            </w:r>
          </w:p>
        </w:tc>
      </w:tr>
      <w:tr>
        <w:trPr>
          <w:trHeight w:val="224"/>
        </w:trPr>
        <w:tc>
          <w:tcPr>
            <w:tcW w:w="2240" w:type="dxa"/>
            <w:vAlign w:val="bottom"/>
            <w:shd w:val="clear" w:color="auto" w:fill="DFE4EA"/>
          </w:tcPr>
          <w:p>
            <w:pPr>
              <w:spacing w:after="0"/>
              <w:rPr>
                <w:sz w:val="20"/>
                <w:szCs w:val="20"/>
                <w:color w:val="auto"/>
              </w:rPr>
            </w:pPr>
            <w:r>
              <w:rPr>
                <w:rFonts w:ascii="Arial" w:cs="Arial" w:eastAsia="Arial" w:hAnsi="Arial"/>
                <w:sz w:val="15"/>
                <w:szCs w:val="15"/>
                <w:color w:val="auto"/>
              </w:rPr>
              <w:t>Jean F. Holloway</w:t>
            </w:r>
          </w:p>
        </w:tc>
        <w:tc>
          <w:tcPr>
            <w:tcW w:w="15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23.7</w:t>
            </w:r>
          </w:p>
        </w:tc>
        <w:tc>
          <w:tcPr>
            <w:tcW w:w="1520" w:type="dxa"/>
            <w:vAlign w:val="bottom"/>
            <w:shd w:val="clear" w:color="auto" w:fill="DFE4EA"/>
          </w:tcPr>
          <w:p>
            <w:pPr>
              <w:jc w:val="center"/>
              <w:ind w:left="143"/>
              <w:spacing w:after="0"/>
              <w:rPr>
                <w:sz w:val="20"/>
                <w:szCs w:val="20"/>
                <w:color w:val="auto"/>
              </w:rPr>
            </w:pPr>
            <w:r>
              <w:rPr>
                <w:rFonts w:ascii="Arial" w:cs="Arial" w:eastAsia="Arial" w:hAnsi="Arial"/>
                <w:sz w:val="15"/>
                <w:szCs w:val="15"/>
                <w:color w:val="auto"/>
              </w:rPr>
              <w:t>0.0</w:t>
            </w:r>
          </w:p>
        </w:tc>
        <w:tc>
          <w:tcPr>
            <w:tcW w:w="1980" w:type="dxa"/>
            <w:vAlign w:val="bottom"/>
            <w:shd w:val="clear" w:color="auto" w:fill="DFE4EA"/>
          </w:tcPr>
          <w:p>
            <w:pPr>
              <w:jc w:val="center"/>
              <w:ind w:left="163"/>
              <w:spacing w:after="0"/>
              <w:rPr>
                <w:sz w:val="20"/>
                <w:szCs w:val="20"/>
                <w:color w:val="auto"/>
              </w:rPr>
            </w:pPr>
            <w:r>
              <w:rPr>
                <w:rFonts w:ascii="Arial" w:cs="Arial" w:eastAsia="Arial" w:hAnsi="Arial"/>
                <w:sz w:val="15"/>
                <w:szCs w:val="15"/>
                <w:color w:val="auto"/>
              </w:rPr>
              <w:t>14.1</w:t>
            </w:r>
          </w:p>
        </w:tc>
      </w:tr>
      <w:tr>
        <w:trPr>
          <w:trHeight w:val="216"/>
        </w:trPr>
        <w:tc>
          <w:tcPr>
            <w:tcW w:w="2240" w:type="dxa"/>
            <w:vAlign w:val="bottom"/>
          </w:tcPr>
          <w:p>
            <w:pPr>
              <w:spacing w:after="0"/>
              <w:rPr>
                <w:sz w:val="20"/>
                <w:szCs w:val="20"/>
                <w:color w:val="auto"/>
              </w:rPr>
            </w:pPr>
            <w:r>
              <w:rPr>
                <w:rFonts w:ascii="Arial" w:cs="Arial" w:eastAsia="Arial" w:hAnsi="Arial"/>
                <w:sz w:val="15"/>
                <w:szCs w:val="15"/>
                <w:color w:val="auto"/>
              </w:rPr>
              <w:t>John E. Davis</w:t>
            </w:r>
          </w:p>
        </w:tc>
        <w:tc>
          <w:tcPr>
            <w:tcW w:w="1520" w:type="dxa"/>
            <w:vAlign w:val="bottom"/>
          </w:tcPr>
          <w:p>
            <w:pPr>
              <w:jc w:val="center"/>
              <w:spacing w:after="0"/>
              <w:rPr>
                <w:sz w:val="20"/>
                <w:szCs w:val="20"/>
                <w:color w:val="auto"/>
              </w:rPr>
            </w:pPr>
            <w:r>
              <w:rPr>
                <w:rFonts w:ascii="Arial" w:cs="Arial" w:eastAsia="Arial" w:hAnsi="Arial"/>
                <w:sz w:val="15"/>
                <w:szCs w:val="15"/>
                <w:color w:val="auto"/>
              </w:rPr>
              <w:t>23.3</w:t>
            </w:r>
          </w:p>
        </w:tc>
        <w:tc>
          <w:tcPr>
            <w:tcW w:w="1520" w:type="dxa"/>
            <w:vAlign w:val="bottom"/>
          </w:tcPr>
          <w:p>
            <w:pPr>
              <w:jc w:val="center"/>
              <w:ind w:left="143"/>
              <w:spacing w:after="0"/>
              <w:rPr>
                <w:sz w:val="20"/>
                <w:szCs w:val="20"/>
                <w:color w:val="auto"/>
              </w:rPr>
            </w:pPr>
            <w:r>
              <w:rPr>
                <w:rFonts w:ascii="Arial" w:cs="Arial" w:eastAsia="Arial" w:hAnsi="Arial"/>
                <w:sz w:val="15"/>
                <w:szCs w:val="15"/>
                <w:color w:val="auto"/>
              </w:rPr>
              <w:t>0.0</w:t>
            </w:r>
          </w:p>
        </w:tc>
        <w:tc>
          <w:tcPr>
            <w:tcW w:w="1980" w:type="dxa"/>
            <w:vAlign w:val="bottom"/>
          </w:tcPr>
          <w:p>
            <w:pPr>
              <w:jc w:val="center"/>
              <w:ind w:left="163"/>
              <w:spacing w:after="0"/>
              <w:rPr>
                <w:sz w:val="20"/>
                <w:szCs w:val="20"/>
                <w:color w:val="auto"/>
              </w:rPr>
            </w:pPr>
            <w:r>
              <w:rPr>
                <w:rFonts w:ascii="Arial" w:cs="Arial" w:eastAsia="Arial" w:hAnsi="Arial"/>
                <w:sz w:val="15"/>
                <w:szCs w:val="15"/>
                <w:color w:val="auto"/>
              </w:rPr>
              <w:t>13.8</w:t>
            </w:r>
          </w:p>
        </w:tc>
      </w:tr>
      <w:tr>
        <w:trPr>
          <w:trHeight w:val="224"/>
        </w:trPr>
        <w:tc>
          <w:tcPr>
            <w:tcW w:w="2240" w:type="dxa"/>
            <w:vAlign w:val="bottom"/>
            <w:shd w:val="clear" w:color="auto" w:fill="DFE4EA"/>
          </w:tcPr>
          <w:p>
            <w:pPr>
              <w:spacing w:after="0"/>
              <w:rPr>
                <w:sz w:val="20"/>
                <w:szCs w:val="20"/>
                <w:color w:val="auto"/>
              </w:rPr>
            </w:pPr>
            <w:r>
              <w:rPr>
                <w:rFonts w:ascii="Arial" w:cs="Arial" w:eastAsia="Arial" w:hAnsi="Arial"/>
                <w:sz w:val="15"/>
                <w:szCs w:val="15"/>
                <w:color w:val="auto"/>
              </w:rPr>
              <w:t>Marshall S. Stanton</w:t>
            </w:r>
          </w:p>
        </w:tc>
        <w:tc>
          <w:tcPr>
            <w:tcW w:w="15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27.7</w:t>
            </w:r>
          </w:p>
        </w:tc>
        <w:tc>
          <w:tcPr>
            <w:tcW w:w="1520" w:type="dxa"/>
            <w:vAlign w:val="bottom"/>
            <w:shd w:val="clear" w:color="auto" w:fill="DFE4EA"/>
          </w:tcPr>
          <w:p>
            <w:pPr>
              <w:jc w:val="center"/>
              <w:ind w:left="143"/>
              <w:spacing w:after="0"/>
              <w:rPr>
                <w:sz w:val="20"/>
                <w:szCs w:val="20"/>
                <w:color w:val="auto"/>
              </w:rPr>
            </w:pPr>
            <w:r>
              <w:rPr>
                <w:rFonts w:ascii="Arial" w:cs="Arial" w:eastAsia="Arial" w:hAnsi="Arial"/>
                <w:sz w:val="15"/>
                <w:szCs w:val="15"/>
                <w:color w:val="auto"/>
              </w:rPr>
              <w:t>0.0</w:t>
            </w:r>
          </w:p>
        </w:tc>
        <w:tc>
          <w:tcPr>
            <w:tcW w:w="1980" w:type="dxa"/>
            <w:vAlign w:val="bottom"/>
            <w:shd w:val="clear" w:color="auto" w:fill="DFE4EA"/>
          </w:tcPr>
          <w:p>
            <w:pPr>
              <w:jc w:val="center"/>
              <w:ind w:left="163"/>
              <w:spacing w:after="0"/>
              <w:rPr>
                <w:sz w:val="20"/>
                <w:szCs w:val="20"/>
                <w:color w:val="auto"/>
              </w:rPr>
            </w:pPr>
            <w:r>
              <w:rPr>
                <w:rFonts w:ascii="Arial" w:cs="Arial" w:eastAsia="Arial" w:hAnsi="Arial"/>
                <w:sz w:val="15"/>
                <w:szCs w:val="15"/>
                <w:color w:val="auto"/>
              </w:rPr>
              <w:t>16.5</w:t>
            </w:r>
          </w:p>
        </w:tc>
      </w:tr>
    </w:tbl>
    <w:p>
      <w:pPr>
        <w:spacing w:after="0" w:line="127" w:lineRule="exact"/>
        <w:rPr>
          <w:sz w:val="20"/>
          <w:szCs w:val="20"/>
          <w:color w:val="auto"/>
        </w:rPr>
      </w:pPr>
    </w:p>
    <w:p>
      <w:pPr>
        <w:ind w:left="1580" w:hanging="224"/>
        <w:spacing w:after="0" w:line="200" w:lineRule="auto"/>
        <w:tabs>
          <w:tab w:leader="none" w:pos="15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Consistent with the Summary Compensation Table on page 42, the Bonus represents the personal performance component of the annual award paid pursuant to the short-term incentive plan.</w:t>
      </w:r>
    </w:p>
    <w:p>
      <w:pPr>
        <w:spacing w:after="0" w:line="107" w:lineRule="exact"/>
        <w:rPr>
          <w:rFonts w:ascii="Arial" w:cs="Arial" w:eastAsia="Arial" w:hAnsi="Arial"/>
          <w:sz w:val="22"/>
          <w:szCs w:val="22"/>
          <w:color w:val="auto"/>
          <w:vertAlign w:val="superscript"/>
        </w:rPr>
      </w:pPr>
    </w:p>
    <w:p>
      <w:pPr>
        <w:ind w:left="1580" w:hanging="224"/>
        <w:spacing w:after="0" w:line="200" w:lineRule="auto"/>
        <w:tabs>
          <w:tab w:leader="none" w:pos="15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Amounts represent the constant currency revenue and adjusted EBITDA performance components of the awards earned pursuant to the applicable short-term incentive plan and the 2020 ECIP.</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9"/>
          <w:szCs w:val="19"/>
          <w:b w:val="1"/>
          <w:bCs w:val="1"/>
          <w:color w:val="2B4B74"/>
        </w:rPr>
        <w:t>Outstanding Equity Awards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2"/>
          </w:tcPr>
          <w:p>
            <w:pPr>
              <w:ind w:left="520"/>
              <w:spacing w:after="0"/>
              <w:rPr>
                <w:sz w:val="20"/>
                <w:szCs w:val="20"/>
                <w:color w:val="auto"/>
              </w:rPr>
            </w:pPr>
            <w:r>
              <w:rPr>
                <w:rFonts w:ascii="Arial" w:cs="Arial" w:eastAsia="Arial" w:hAnsi="Arial"/>
                <w:sz w:val="11"/>
                <w:szCs w:val="11"/>
                <w:b w:val="1"/>
                <w:bCs w:val="1"/>
                <w:color w:val="auto"/>
              </w:rPr>
              <w:t>Option Awards</w:t>
            </w:r>
          </w:p>
        </w:tc>
        <w:tc>
          <w:tcPr>
            <w:tcW w:w="9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2"/>
          </w:tcPr>
          <w:p>
            <w:pPr>
              <w:ind w:left="640"/>
              <w:spacing w:after="0"/>
              <w:rPr>
                <w:sz w:val="20"/>
                <w:szCs w:val="20"/>
                <w:color w:val="auto"/>
              </w:rPr>
            </w:pPr>
            <w:r>
              <w:rPr>
                <w:rFonts w:ascii="Arial" w:cs="Arial" w:eastAsia="Arial" w:hAnsi="Arial"/>
                <w:sz w:val="11"/>
                <w:szCs w:val="11"/>
                <w:b w:val="1"/>
                <w:bCs w:val="1"/>
                <w:color w:val="auto"/>
              </w:rPr>
              <w:t>Stock Awards</w:t>
            </w: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Equity Incentive</w:t>
            </w: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Equity Incentive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9"/>
              </w:rPr>
              <w:t>Equity Incentive</w:t>
            </w: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7"/>
              </w:rPr>
              <w:t>Plan Awards:</w:t>
            </w: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9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Plan Awards:</w:t>
            </w: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7"/>
              </w:rPr>
              <w:t>Plan Awards:</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6"/>
              </w:rPr>
              <w:t>Market or</w:t>
            </w: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Number of</w:t>
            </w: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Market Value</w:t>
            </w:r>
          </w:p>
        </w:tc>
        <w:tc>
          <w:tcPr>
            <w:tcW w:w="9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Number of</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Payout Value</w:t>
            </w: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96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Securities</w:t>
            </w:r>
          </w:p>
        </w:tc>
        <w:tc>
          <w:tcPr>
            <w:tcW w:w="10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4"/>
              </w:rPr>
              <w:t>Securities</w:t>
            </w:r>
          </w:p>
        </w:tc>
        <w:tc>
          <w:tcPr>
            <w:tcW w:w="9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4"/>
              </w:rPr>
              <w:t>Securities</w:t>
            </w: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Unearned</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9"/>
              </w:rPr>
              <w:t>of Unearned</w:t>
            </w: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96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7"/>
              </w:rPr>
              <w:t>Underlying</w:t>
            </w:r>
          </w:p>
        </w:tc>
        <w:tc>
          <w:tcPr>
            <w:tcW w:w="10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Underlying</w:t>
            </w:r>
          </w:p>
        </w:tc>
        <w:tc>
          <w:tcPr>
            <w:tcW w:w="9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Underlying</w:t>
            </w: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Shares or</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6"/>
              </w:rPr>
              <w:t>of Shares or</w:t>
            </w:r>
          </w:p>
        </w:tc>
        <w:tc>
          <w:tcPr>
            <w:tcW w:w="9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Shares, Units,</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Shares, Units,</w:t>
            </w: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96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7"/>
              </w:rPr>
              <w:t>Unexercised</w:t>
            </w:r>
          </w:p>
        </w:tc>
        <w:tc>
          <w:tcPr>
            <w:tcW w:w="10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Unexercised</w:t>
            </w:r>
          </w:p>
        </w:tc>
        <w:tc>
          <w:tcPr>
            <w:tcW w:w="9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Unexercised</w:t>
            </w: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Option</w:t>
            </w:r>
          </w:p>
        </w:tc>
        <w:tc>
          <w:tcPr>
            <w:tcW w:w="1000" w:type="dxa"/>
            <w:vAlign w:val="bottom"/>
          </w:tcPr>
          <w:p>
            <w:pPr>
              <w:spacing w:after="0"/>
              <w:rPr>
                <w:sz w:val="10"/>
                <w:szCs w:val="10"/>
                <w:color w:val="auto"/>
              </w:rPr>
            </w:pP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9"/>
              </w:rPr>
              <w:t>Units of Stock</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9"/>
              </w:rPr>
              <w:t>Units of Stock</w:t>
            </w:r>
          </w:p>
        </w:tc>
        <w:tc>
          <w:tcPr>
            <w:tcW w:w="9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9"/>
              </w:rPr>
              <w:t>or Other Rights</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9"/>
              </w:rPr>
              <w:t>or Other Rights</w:t>
            </w: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96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6"/>
              </w:rPr>
              <w:t>Options</w:t>
            </w:r>
          </w:p>
        </w:tc>
        <w:tc>
          <w:tcPr>
            <w:tcW w:w="10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Options</w:t>
            </w:r>
          </w:p>
        </w:tc>
        <w:tc>
          <w:tcPr>
            <w:tcW w:w="9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Unearned</w:t>
            </w:r>
          </w:p>
        </w:tc>
        <w:tc>
          <w:tcPr>
            <w:tcW w:w="92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Option</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that Have Not</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that Have Not</w:t>
            </w:r>
          </w:p>
        </w:tc>
        <w:tc>
          <w:tcPr>
            <w:tcW w:w="9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that Have Not</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that Have Not</w:t>
            </w:r>
          </w:p>
        </w:tc>
        <w:tc>
          <w:tcPr>
            <w:tcW w:w="0" w:type="dxa"/>
            <w:vAlign w:val="bottom"/>
          </w:tcPr>
          <w:p>
            <w:pPr>
              <w:spacing w:after="0"/>
              <w:rPr>
                <w:sz w:val="1"/>
                <w:szCs w:val="1"/>
                <w:color w:val="auto"/>
              </w:rPr>
            </w:pPr>
          </w:p>
        </w:tc>
      </w:tr>
      <w:tr>
        <w:trPr>
          <w:trHeight w:val="116"/>
        </w:trPr>
        <w:tc>
          <w:tcPr>
            <w:tcW w:w="1160" w:type="dxa"/>
            <w:vAlign w:val="bottom"/>
            <w:vMerge w:val="restart"/>
          </w:tcPr>
          <w:p>
            <w:pPr>
              <w:ind w:left="440"/>
              <w:spacing w:after="0"/>
              <w:rPr>
                <w:sz w:val="20"/>
                <w:szCs w:val="20"/>
                <w:color w:val="auto"/>
              </w:rPr>
            </w:pPr>
            <w:r>
              <w:rPr>
                <w:rFonts w:ascii="Arial" w:cs="Arial" w:eastAsia="Arial" w:hAnsi="Arial"/>
                <w:sz w:val="11"/>
                <w:szCs w:val="11"/>
                <w:b w:val="1"/>
                <w:bCs w:val="1"/>
                <w:color w:val="auto"/>
              </w:rPr>
              <w:t>Name</w:t>
            </w:r>
          </w:p>
        </w:tc>
        <w:tc>
          <w:tcPr>
            <w:tcW w:w="96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Exercisable</w:t>
            </w:r>
          </w:p>
        </w:tc>
        <w:tc>
          <w:tcPr>
            <w:tcW w:w="10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9"/>
              </w:rPr>
              <w:t>Unexercisable</w:t>
            </w:r>
          </w:p>
        </w:tc>
        <w:tc>
          <w:tcPr>
            <w:tcW w:w="9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Options</w:t>
            </w:r>
          </w:p>
        </w:tc>
        <w:tc>
          <w:tcPr>
            <w:tcW w:w="9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8"/>
              </w:rPr>
              <w:t>Exercise Price</w:t>
            </w:r>
          </w:p>
        </w:tc>
        <w:tc>
          <w:tcPr>
            <w:tcW w:w="1000" w:type="dxa"/>
            <w:vAlign w:val="bottom"/>
            <w:vMerge w:val="continue"/>
          </w:tcPr>
          <w:p>
            <w:pPr>
              <w:spacing w:after="0"/>
              <w:rPr>
                <w:sz w:val="10"/>
                <w:szCs w:val="10"/>
                <w:color w:val="auto"/>
              </w:rPr>
            </w:pP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4"/>
              </w:rPr>
              <w:t>Vested</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4"/>
              </w:rPr>
              <w:t>Vested</w:t>
            </w:r>
          </w:p>
        </w:tc>
        <w:tc>
          <w:tcPr>
            <w:tcW w:w="9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4"/>
              </w:rPr>
              <w:t>Vested</w:t>
            </w:r>
          </w:p>
        </w:tc>
        <w:tc>
          <w:tcPr>
            <w:tcW w:w="10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9"/>
              </w:rPr>
              <w:t>Vested</w:t>
            </w:r>
          </w:p>
        </w:tc>
        <w:tc>
          <w:tcPr>
            <w:tcW w:w="0" w:type="dxa"/>
            <w:vAlign w:val="bottom"/>
          </w:tcPr>
          <w:p>
            <w:pPr>
              <w:spacing w:after="0"/>
              <w:rPr>
                <w:sz w:val="1"/>
                <w:szCs w:val="1"/>
                <w:color w:val="auto"/>
              </w:rPr>
            </w:pPr>
          </w:p>
        </w:tc>
      </w:tr>
      <w:tr>
        <w:trPr>
          <w:trHeight w:val="131"/>
        </w:trPr>
        <w:tc>
          <w:tcPr>
            <w:tcW w:w="116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1080" w:type="dxa"/>
            <w:vAlign w:val="bottom"/>
            <w:tcBorders>
              <w:bottom w:val="single" w:sz="8" w:color="auto"/>
            </w:tcBorders>
          </w:tcPr>
          <w:p>
            <w:pPr>
              <w:jc w:val="right"/>
              <w:ind w:right="427"/>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Expiration 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124"/>
        </w:trPr>
        <w:tc>
          <w:tcPr>
            <w:tcW w:w="1160" w:type="dxa"/>
            <w:vAlign w:val="bottom"/>
          </w:tcPr>
          <w:p>
            <w:pPr>
              <w:ind w:left="540"/>
              <w:spacing w:after="0"/>
              <w:rPr>
                <w:sz w:val="20"/>
                <w:szCs w:val="20"/>
                <w:color w:val="auto"/>
              </w:rPr>
            </w:pPr>
            <w:r>
              <w:rPr>
                <w:rFonts w:ascii="Arial" w:cs="Arial" w:eastAsia="Arial" w:hAnsi="Arial"/>
                <w:sz w:val="8"/>
                <w:szCs w:val="8"/>
                <w:b w:val="1"/>
                <w:bCs w:val="1"/>
                <w:color w:val="auto"/>
              </w:rPr>
              <w:t>(a)</w:t>
            </w:r>
          </w:p>
        </w:tc>
        <w:tc>
          <w:tcPr>
            <w:tcW w:w="960" w:type="dxa"/>
            <w:vAlign w:val="bottom"/>
          </w:tcPr>
          <w:p>
            <w:pPr>
              <w:jc w:val="center"/>
              <w:spacing w:after="0"/>
              <w:rPr>
                <w:sz w:val="20"/>
                <w:szCs w:val="20"/>
                <w:color w:val="auto"/>
              </w:rPr>
            </w:pPr>
            <w:r>
              <w:rPr>
                <w:rFonts w:ascii="Arial" w:cs="Arial" w:eastAsia="Arial" w:hAnsi="Arial"/>
                <w:sz w:val="8"/>
                <w:szCs w:val="8"/>
                <w:b w:val="1"/>
                <w:bCs w:val="1"/>
                <w:color w:val="auto"/>
                <w:w w:val="97"/>
              </w:rPr>
              <w:t>(b)</w:t>
            </w:r>
          </w:p>
        </w:tc>
        <w:tc>
          <w:tcPr>
            <w:tcW w:w="1080" w:type="dxa"/>
            <w:vAlign w:val="bottom"/>
          </w:tcPr>
          <w:p>
            <w:pPr>
              <w:jc w:val="center"/>
              <w:spacing w:after="0"/>
              <w:rPr>
                <w:sz w:val="20"/>
                <w:szCs w:val="20"/>
                <w:color w:val="auto"/>
              </w:rPr>
            </w:pPr>
            <w:r>
              <w:rPr>
                <w:rFonts w:ascii="Arial" w:cs="Arial" w:eastAsia="Arial" w:hAnsi="Arial"/>
                <w:sz w:val="8"/>
                <w:szCs w:val="8"/>
                <w:b w:val="1"/>
                <w:bCs w:val="1"/>
                <w:color w:val="auto"/>
              </w:rPr>
              <w:t>(c)</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w w:val="97"/>
              </w:rPr>
              <w:t>(d)</w:t>
            </w: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rPr>
              <w:t>(e)</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w w:val="99"/>
              </w:rPr>
              <w:t>(f)</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w w:val="97"/>
              </w:rPr>
              <w:t>(g)</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w w:val="97"/>
              </w:rPr>
              <w:t>(h)</w:t>
            </w:r>
          </w:p>
        </w:tc>
        <w:tc>
          <w:tcPr>
            <w:tcW w:w="980" w:type="dxa"/>
            <w:vAlign w:val="bottom"/>
          </w:tcPr>
          <w:p>
            <w:pPr>
              <w:jc w:val="center"/>
              <w:spacing w:after="0"/>
              <w:rPr>
                <w:sz w:val="20"/>
                <w:szCs w:val="20"/>
                <w:color w:val="auto"/>
              </w:rPr>
            </w:pPr>
            <w:r>
              <w:rPr>
                <w:rFonts w:ascii="Arial" w:cs="Arial" w:eastAsia="Arial" w:hAnsi="Arial"/>
                <w:sz w:val="8"/>
                <w:szCs w:val="8"/>
                <w:b w:val="1"/>
                <w:bCs w:val="1"/>
                <w:color w:val="auto"/>
              </w:rPr>
              <w:t>(i)</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rPr>
              <w:t>(j)</w:t>
            </w:r>
          </w:p>
        </w:tc>
        <w:tc>
          <w:tcPr>
            <w:tcW w:w="0" w:type="dxa"/>
            <w:vAlign w:val="bottom"/>
          </w:tcPr>
          <w:p>
            <w:pPr>
              <w:spacing w:after="0"/>
              <w:rPr>
                <w:sz w:val="1"/>
                <w:szCs w:val="1"/>
                <w:color w:val="auto"/>
              </w:rPr>
            </w:pPr>
          </w:p>
        </w:tc>
      </w:tr>
      <w:tr>
        <w:trPr>
          <w:trHeight w:val="42"/>
        </w:trPr>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160" w:type="dxa"/>
            <w:vAlign w:val="bottom"/>
            <w:shd w:val="clear" w:color="auto" w:fill="DFE4EA"/>
          </w:tcPr>
          <w:p>
            <w:pPr>
              <w:spacing w:after="0"/>
              <w:rPr>
                <w:sz w:val="20"/>
                <w:szCs w:val="20"/>
                <w:color w:val="auto"/>
              </w:rPr>
            </w:pPr>
            <w:r>
              <w:rPr>
                <w:rFonts w:ascii="Arial" w:cs="Arial" w:eastAsia="Arial" w:hAnsi="Arial"/>
                <w:sz w:val="11"/>
                <w:szCs w:val="11"/>
                <w:color w:val="auto"/>
              </w:rPr>
              <w:t>J. Patrick Mackin</w:t>
            </w:r>
          </w:p>
        </w:tc>
        <w:tc>
          <w:tcPr>
            <w:tcW w:w="96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86,296</w:t>
            </w:r>
          </w:p>
        </w:tc>
        <w:tc>
          <w:tcPr>
            <w:tcW w:w="1080" w:type="dxa"/>
            <w:vAlign w:val="bottom"/>
            <w:shd w:val="clear" w:color="auto" w:fill="DFE4EA"/>
          </w:tcPr>
          <w:p>
            <w:pPr>
              <w:spacing w:after="0"/>
              <w:rPr>
                <w:sz w:val="13"/>
                <w:szCs w:val="13"/>
                <w:color w:val="auto"/>
              </w:rPr>
            </w:pPr>
          </w:p>
        </w:tc>
        <w:tc>
          <w:tcPr>
            <w:tcW w:w="920" w:type="dxa"/>
            <w:vAlign w:val="bottom"/>
            <w:shd w:val="clear" w:color="auto" w:fill="DFE4EA"/>
          </w:tcPr>
          <w:p>
            <w:pPr>
              <w:spacing w:after="0"/>
              <w:rPr>
                <w:sz w:val="13"/>
                <w:szCs w:val="13"/>
                <w:color w:val="auto"/>
              </w:rPr>
            </w:pPr>
          </w:p>
        </w:tc>
        <w:tc>
          <w:tcPr>
            <w:tcW w:w="92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26.24</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7"/>
              </w:rPr>
              <w:t>2/19/2027</w:t>
            </w:r>
          </w:p>
        </w:tc>
        <w:tc>
          <w:tcPr>
            <w:tcW w:w="1000" w:type="dxa"/>
            <w:vAlign w:val="bottom"/>
            <w:shd w:val="clear" w:color="auto" w:fill="DFE4EA"/>
          </w:tcPr>
          <w:p>
            <w:pPr>
              <w:spacing w:after="0"/>
              <w:rPr>
                <w:sz w:val="13"/>
                <w:szCs w:val="13"/>
                <w:color w:val="auto"/>
              </w:rPr>
            </w:pPr>
          </w:p>
        </w:tc>
        <w:tc>
          <w:tcPr>
            <w:tcW w:w="1000" w:type="dxa"/>
            <w:vAlign w:val="bottom"/>
            <w:shd w:val="clear" w:color="auto" w:fill="DFE4EA"/>
          </w:tcPr>
          <w:p>
            <w:pPr>
              <w:spacing w:after="0"/>
              <w:rPr>
                <w:sz w:val="13"/>
                <w:szCs w:val="13"/>
                <w:color w:val="auto"/>
              </w:rPr>
            </w:pPr>
          </w:p>
        </w:tc>
        <w:tc>
          <w:tcPr>
            <w:tcW w:w="980" w:type="dxa"/>
            <w:vAlign w:val="bottom"/>
            <w:shd w:val="clear" w:color="auto" w:fill="DFE4EA"/>
          </w:tcPr>
          <w:p>
            <w:pPr>
              <w:spacing w:after="0"/>
              <w:rPr>
                <w:sz w:val="13"/>
                <w:szCs w:val="13"/>
                <w:color w:val="auto"/>
              </w:rPr>
            </w:pPr>
          </w:p>
        </w:tc>
        <w:tc>
          <w:tcPr>
            <w:tcW w:w="1000" w:type="dxa"/>
            <w:vAlign w:val="bottom"/>
            <w:shd w:val="clear" w:color="auto" w:fill="DFE4E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DFE4EA"/>
          </w:tcPr>
          <w:p>
            <w:pPr>
              <w:spacing w:after="0"/>
              <w:rPr>
                <w:sz w:val="14"/>
                <w:szCs w:val="14"/>
                <w:color w:val="auto"/>
              </w:rPr>
            </w:pPr>
          </w:p>
        </w:tc>
        <w:tc>
          <w:tcPr>
            <w:tcW w:w="96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93,519</w:t>
            </w:r>
          </w:p>
        </w:tc>
        <w:tc>
          <w:tcPr>
            <w:tcW w:w="1080" w:type="dxa"/>
            <w:vAlign w:val="bottom"/>
            <w:shd w:val="clear" w:color="auto" w:fill="DFE4EA"/>
          </w:tcPr>
          <w:p>
            <w:pPr>
              <w:spacing w:after="0"/>
              <w:rPr>
                <w:sz w:val="14"/>
                <w:szCs w:val="14"/>
                <w:color w:val="auto"/>
              </w:rPr>
            </w:pPr>
          </w:p>
        </w:tc>
        <w:tc>
          <w:tcPr>
            <w:tcW w:w="920" w:type="dxa"/>
            <w:vAlign w:val="bottom"/>
            <w:shd w:val="clear" w:color="auto" w:fill="DFE4EA"/>
          </w:tcPr>
          <w:p>
            <w:pPr>
              <w:spacing w:after="0"/>
              <w:rPr>
                <w:sz w:val="14"/>
                <w:szCs w:val="14"/>
                <w:color w:val="auto"/>
              </w:rPr>
            </w:pPr>
          </w:p>
        </w:tc>
        <w:tc>
          <w:tcPr>
            <w:tcW w:w="92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24.90</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7"/>
              </w:rPr>
              <w:t>2/17/2028</w:t>
            </w:r>
          </w:p>
        </w:tc>
        <w:tc>
          <w:tcPr>
            <w:tcW w:w="1000" w:type="dxa"/>
            <w:vAlign w:val="bottom"/>
            <w:shd w:val="clear" w:color="auto" w:fill="DFE4EA"/>
          </w:tcPr>
          <w:p>
            <w:pPr>
              <w:spacing w:after="0"/>
              <w:rPr>
                <w:sz w:val="14"/>
                <w:szCs w:val="14"/>
                <w:color w:val="auto"/>
              </w:rPr>
            </w:pPr>
          </w:p>
        </w:tc>
        <w:tc>
          <w:tcPr>
            <w:tcW w:w="1000" w:type="dxa"/>
            <w:vAlign w:val="bottom"/>
            <w:shd w:val="clear" w:color="auto" w:fill="DFE4EA"/>
          </w:tcPr>
          <w:p>
            <w:pPr>
              <w:spacing w:after="0"/>
              <w:rPr>
                <w:sz w:val="14"/>
                <w:szCs w:val="14"/>
                <w:color w:val="auto"/>
              </w:rPr>
            </w:pPr>
          </w:p>
        </w:tc>
        <w:tc>
          <w:tcPr>
            <w:tcW w:w="980" w:type="dxa"/>
            <w:vAlign w:val="bottom"/>
            <w:shd w:val="clear" w:color="auto" w:fill="DFE4EA"/>
          </w:tcPr>
          <w:p>
            <w:pPr>
              <w:spacing w:after="0"/>
              <w:rPr>
                <w:sz w:val="14"/>
                <w:szCs w:val="14"/>
                <w:color w:val="auto"/>
              </w:rPr>
            </w:pPr>
          </w:p>
        </w:tc>
        <w:tc>
          <w:tcPr>
            <w:tcW w:w="1000" w:type="dxa"/>
            <w:vAlign w:val="bottom"/>
            <w:shd w:val="clear" w:color="auto" w:fill="DFE4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DFE4EA"/>
          </w:tcPr>
          <w:p>
            <w:pPr>
              <w:spacing w:after="0"/>
              <w:rPr>
                <w:sz w:val="14"/>
                <w:szCs w:val="14"/>
                <w:color w:val="auto"/>
              </w:rPr>
            </w:pPr>
          </w:p>
        </w:tc>
        <w:tc>
          <w:tcPr>
            <w:tcW w:w="960" w:type="dxa"/>
            <w:vAlign w:val="bottom"/>
            <w:shd w:val="clear" w:color="auto" w:fill="DFE4EA"/>
          </w:tcPr>
          <w:p>
            <w:pPr>
              <w:jc w:val="center"/>
              <w:spacing w:after="0"/>
              <w:rPr>
                <w:sz w:val="20"/>
                <w:szCs w:val="20"/>
                <w:color w:val="auto"/>
              </w:rPr>
            </w:pPr>
            <w:r>
              <w:rPr>
                <w:rFonts w:ascii="Arial" w:cs="Arial" w:eastAsia="Arial" w:hAnsi="Arial"/>
                <w:sz w:val="11"/>
                <w:szCs w:val="11"/>
                <w:color w:val="auto"/>
              </w:rPr>
              <w:t>126,546</w:t>
            </w:r>
          </w:p>
        </w:tc>
        <w:tc>
          <w:tcPr>
            <w:tcW w:w="1080" w:type="dxa"/>
            <w:vAlign w:val="bottom"/>
            <w:shd w:val="clear" w:color="auto" w:fill="DFE4EA"/>
          </w:tcPr>
          <w:p>
            <w:pPr>
              <w:spacing w:after="0"/>
              <w:rPr>
                <w:sz w:val="14"/>
                <w:szCs w:val="14"/>
                <w:color w:val="auto"/>
              </w:rPr>
            </w:pPr>
          </w:p>
        </w:tc>
        <w:tc>
          <w:tcPr>
            <w:tcW w:w="920" w:type="dxa"/>
            <w:vAlign w:val="bottom"/>
            <w:shd w:val="clear" w:color="auto" w:fill="DFE4EA"/>
          </w:tcPr>
          <w:p>
            <w:pPr>
              <w:spacing w:after="0"/>
              <w:rPr>
                <w:sz w:val="14"/>
                <w:szCs w:val="14"/>
                <w:color w:val="auto"/>
              </w:rPr>
            </w:pPr>
          </w:p>
        </w:tc>
        <w:tc>
          <w:tcPr>
            <w:tcW w:w="92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18.44</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7"/>
              </w:rPr>
              <w:t>2/23/2029</w:t>
            </w:r>
          </w:p>
        </w:tc>
        <w:tc>
          <w:tcPr>
            <w:tcW w:w="1000" w:type="dxa"/>
            <w:vAlign w:val="bottom"/>
            <w:shd w:val="clear" w:color="auto" w:fill="DFE4EA"/>
          </w:tcPr>
          <w:p>
            <w:pPr>
              <w:spacing w:after="0"/>
              <w:rPr>
                <w:sz w:val="14"/>
                <w:szCs w:val="14"/>
                <w:color w:val="auto"/>
              </w:rPr>
            </w:pPr>
          </w:p>
        </w:tc>
        <w:tc>
          <w:tcPr>
            <w:tcW w:w="1000" w:type="dxa"/>
            <w:vAlign w:val="bottom"/>
            <w:shd w:val="clear" w:color="auto" w:fill="DFE4EA"/>
          </w:tcPr>
          <w:p>
            <w:pPr>
              <w:spacing w:after="0"/>
              <w:rPr>
                <w:sz w:val="14"/>
                <w:szCs w:val="14"/>
                <w:color w:val="auto"/>
              </w:rPr>
            </w:pPr>
          </w:p>
        </w:tc>
        <w:tc>
          <w:tcPr>
            <w:tcW w:w="980" w:type="dxa"/>
            <w:vAlign w:val="bottom"/>
            <w:shd w:val="clear" w:color="auto" w:fill="DFE4EA"/>
          </w:tcPr>
          <w:p>
            <w:pPr>
              <w:spacing w:after="0"/>
              <w:rPr>
                <w:sz w:val="14"/>
                <w:szCs w:val="14"/>
                <w:color w:val="auto"/>
              </w:rPr>
            </w:pPr>
          </w:p>
        </w:tc>
        <w:tc>
          <w:tcPr>
            <w:tcW w:w="1000" w:type="dxa"/>
            <w:vAlign w:val="bottom"/>
            <w:shd w:val="clear" w:color="auto" w:fill="DFE4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DFE4EA"/>
          </w:tcPr>
          <w:p>
            <w:pPr>
              <w:spacing w:after="0"/>
              <w:rPr>
                <w:sz w:val="14"/>
                <w:szCs w:val="14"/>
                <w:color w:val="auto"/>
              </w:rPr>
            </w:pPr>
          </w:p>
        </w:tc>
        <w:tc>
          <w:tcPr>
            <w:tcW w:w="960" w:type="dxa"/>
            <w:vAlign w:val="bottom"/>
            <w:shd w:val="clear" w:color="auto" w:fill="DFE4EA"/>
          </w:tcPr>
          <w:p>
            <w:pPr>
              <w:jc w:val="center"/>
              <w:spacing w:after="0"/>
              <w:rPr>
                <w:sz w:val="20"/>
                <w:szCs w:val="20"/>
                <w:color w:val="auto"/>
              </w:rPr>
            </w:pPr>
            <w:r>
              <w:rPr>
                <w:rFonts w:ascii="Arial" w:cs="Arial" w:eastAsia="Arial" w:hAnsi="Arial"/>
                <w:sz w:val="11"/>
                <w:szCs w:val="11"/>
                <w:color w:val="auto"/>
              </w:rPr>
              <w:t>280,435</w:t>
            </w:r>
          </w:p>
        </w:tc>
        <w:tc>
          <w:tcPr>
            <w:tcW w:w="1080" w:type="dxa"/>
            <w:vAlign w:val="bottom"/>
            <w:shd w:val="clear" w:color="auto" w:fill="DFE4EA"/>
          </w:tcPr>
          <w:p>
            <w:pPr>
              <w:spacing w:after="0"/>
              <w:rPr>
                <w:sz w:val="14"/>
                <w:szCs w:val="14"/>
                <w:color w:val="auto"/>
              </w:rPr>
            </w:pPr>
          </w:p>
        </w:tc>
        <w:tc>
          <w:tcPr>
            <w:tcW w:w="920" w:type="dxa"/>
            <w:vAlign w:val="bottom"/>
            <w:shd w:val="clear" w:color="auto" w:fill="DFE4EA"/>
          </w:tcPr>
          <w:p>
            <w:pPr>
              <w:spacing w:after="0"/>
              <w:rPr>
                <w:sz w:val="14"/>
                <w:szCs w:val="14"/>
                <w:color w:val="auto"/>
              </w:rPr>
            </w:pPr>
          </w:p>
        </w:tc>
        <w:tc>
          <w:tcPr>
            <w:tcW w:w="92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11.03</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7"/>
              </w:rPr>
              <w:t>11/8/2029</w:t>
            </w:r>
          </w:p>
        </w:tc>
        <w:tc>
          <w:tcPr>
            <w:tcW w:w="1000" w:type="dxa"/>
            <w:vAlign w:val="bottom"/>
            <w:shd w:val="clear" w:color="auto" w:fill="DFE4EA"/>
          </w:tcPr>
          <w:p>
            <w:pPr>
              <w:spacing w:after="0"/>
              <w:rPr>
                <w:sz w:val="14"/>
                <w:szCs w:val="14"/>
                <w:color w:val="auto"/>
              </w:rPr>
            </w:pPr>
          </w:p>
        </w:tc>
        <w:tc>
          <w:tcPr>
            <w:tcW w:w="1000" w:type="dxa"/>
            <w:vAlign w:val="bottom"/>
            <w:shd w:val="clear" w:color="auto" w:fill="DFE4EA"/>
          </w:tcPr>
          <w:p>
            <w:pPr>
              <w:spacing w:after="0"/>
              <w:rPr>
                <w:sz w:val="14"/>
                <w:szCs w:val="14"/>
                <w:color w:val="auto"/>
              </w:rPr>
            </w:pPr>
          </w:p>
        </w:tc>
        <w:tc>
          <w:tcPr>
            <w:tcW w:w="980" w:type="dxa"/>
            <w:vAlign w:val="bottom"/>
            <w:shd w:val="clear" w:color="auto" w:fill="DFE4EA"/>
          </w:tcPr>
          <w:p>
            <w:pPr>
              <w:spacing w:after="0"/>
              <w:rPr>
                <w:sz w:val="14"/>
                <w:szCs w:val="14"/>
                <w:color w:val="auto"/>
              </w:rPr>
            </w:pPr>
          </w:p>
        </w:tc>
        <w:tc>
          <w:tcPr>
            <w:tcW w:w="1000" w:type="dxa"/>
            <w:vAlign w:val="bottom"/>
            <w:shd w:val="clear" w:color="auto" w:fill="DFE4E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60" w:type="dxa"/>
            <w:vAlign w:val="bottom"/>
            <w:shd w:val="clear" w:color="auto" w:fill="DFE4EA"/>
          </w:tcPr>
          <w:p>
            <w:pPr>
              <w:spacing w:after="0"/>
              <w:rPr>
                <w:sz w:val="17"/>
                <w:szCs w:val="17"/>
                <w:color w:val="auto"/>
              </w:rPr>
            </w:pPr>
          </w:p>
        </w:tc>
        <w:tc>
          <w:tcPr>
            <w:tcW w:w="960" w:type="dxa"/>
            <w:vAlign w:val="bottom"/>
            <w:shd w:val="clear" w:color="auto" w:fill="DFE4EA"/>
          </w:tcPr>
          <w:p>
            <w:pPr>
              <w:spacing w:after="0"/>
              <w:rPr>
                <w:sz w:val="17"/>
                <w:szCs w:val="17"/>
                <w:color w:val="auto"/>
              </w:rPr>
            </w:pPr>
          </w:p>
        </w:tc>
        <w:tc>
          <w:tcPr>
            <w:tcW w:w="1080" w:type="dxa"/>
            <w:vAlign w:val="bottom"/>
            <w:shd w:val="clear" w:color="auto" w:fill="DFE4EA"/>
          </w:tcPr>
          <w:p>
            <w:pPr>
              <w:spacing w:after="0"/>
              <w:rPr>
                <w:sz w:val="17"/>
                <w:szCs w:val="17"/>
                <w:color w:val="auto"/>
              </w:rPr>
            </w:pPr>
          </w:p>
        </w:tc>
        <w:tc>
          <w:tcPr>
            <w:tcW w:w="920" w:type="dxa"/>
            <w:vAlign w:val="bottom"/>
            <w:shd w:val="clear" w:color="auto" w:fill="DFE4EA"/>
          </w:tcPr>
          <w:p>
            <w:pPr>
              <w:spacing w:after="0"/>
              <w:rPr>
                <w:sz w:val="17"/>
                <w:szCs w:val="17"/>
                <w:color w:val="auto"/>
              </w:rPr>
            </w:pPr>
          </w:p>
        </w:tc>
        <w:tc>
          <w:tcPr>
            <w:tcW w:w="920" w:type="dxa"/>
            <w:vAlign w:val="bottom"/>
            <w:shd w:val="clear" w:color="auto" w:fill="DFE4EA"/>
          </w:tcPr>
          <w:p>
            <w:pPr>
              <w:spacing w:after="0"/>
              <w:rPr>
                <w:sz w:val="17"/>
                <w:szCs w:val="17"/>
                <w:color w:val="auto"/>
              </w:rPr>
            </w:pPr>
          </w:p>
        </w:tc>
        <w:tc>
          <w:tcPr>
            <w:tcW w:w="1000" w:type="dxa"/>
            <w:vAlign w:val="bottom"/>
            <w:shd w:val="clear" w:color="auto" w:fill="DFE4EA"/>
          </w:tcPr>
          <w:p>
            <w:pPr>
              <w:spacing w:after="0"/>
              <w:rPr>
                <w:sz w:val="17"/>
                <w:szCs w:val="17"/>
                <w:color w:val="auto"/>
              </w:rPr>
            </w:pP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1"/>
              </w:rPr>
              <w:t>14,660</w:t>
            </w:r>
            <w:r>
              <w:rPr>
                <w:rFonts w:ascii="Arial" w:cs="Arial" w:eastAsia="Arial" w:hAnsi="Arial"/>
                <w:sz w:val="15"/>
                <w:szCs w:val="15"/>
                <w:color w:val="auto"/>
                <w:w w:val="91"/>
                <w:vertAlign w:val="superscript"/>
              </w:rPr>
              <w:t>(1)</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5"/>
              </w:rPr>
              <w:t>668,643</w:t>
            </w:r>
          </w:p>
        </w:tc>
        <w:tc>
          <w:tcPr>
            <w:tcW w:w="980" w:type="dxa"/>
            <w:vAlign w:val="bottom"/>
            <w:shd w:val="clear" w:color="auto" w:fill="DFE4EA"/>
          </w:tcPr>
          <w:p>
            <w:pPr>
              <w:spacing w:after="0"/>
              <w:rPr>
                <w:sz w:val="17"/>
                <w:szCs w:val="17"/>
                <w:color w:val="auto"/>
              </w:rPr>
            </w:pPr>
          </w:p>
        </w:tc>
        <w:tc>
          <w:tcPr>
            <w:tcW w:w="1000" w:type="dxa"/>
            <w:vAlign w:val="bottom"/>
            <w:shd w:val="clear" w:color="auto" w:fill="DFE4EA"/>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160" w:type="dxa"/>
            <w:vAlign w:val="bottom"/>
            <w:shd w:val="clear" w:color="auto" w:fill="DFE4EA"/>
          </w:tcPr>
          <w:p>
            <w:pPr>
              <w:spacing w:after="0"/>
              <w:rPr>
                <w:sz w:val="16"/>
                <w:szCs w:val="16"/>
                <w:color w:val="auto"/>
              </w:rPr>
            </w:pPr>
          </w:p>
        </w:tc>
        <w:tc>
          <w:tcPr>
            <w:tcW w:w="960" w:type="dxa"/>
            <w:vAlign w:val="bottom"/>
            <w:shd w:val="clear" w:color="auto" w:fill="DFE4EA"/>
          </w:tcPr>
          <w:p>
            <w:pPr>
              <w:spacing w:after="0"/>
              <w:rPr>
                <w:sz w:val="16"/>
                <w:szCs w:val="16"/>
                <w:color w:val="auto"/>
              </w:rPr>
            </w:pPr>
          </w:p>
        </w:tc>
        <w:tc>
          <w:tcPr>
            <w:tcW w:w="108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1"/>
              </w:rPr>
              <w:t>59,334</w:t>
            </w:r>
            <w:r>
              <w:rPr>
                <w:rFonts w:ascii="Arial" w:cs="Arial" w:eastAsia="Arial" w:hAnsi="Arial"/>
                <w:sz w:val="15"/>
                <w:szCs w:val="15"/>
                <w:color w:val="auto"/>
                <w:w w:val="91"/>
                <w:vertAlign w:val="superscript"/>
              </w:rPr>
              <w:t>(4)</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7"/>
              </w:rPr>
              <w:t>2,706,224</w:t>
            </w:r>
          </w:p>
        </w:tc>
        <w:tc>
          <w:tcPr>
            <w:tcW w:w="98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shd w:val="clear" w:color="auto" w:fill="DFE4EA"/>
          </w:tcPr>
          <w:p>
            <w:pPr>
              <w:spacing w:after="0"/>
              <w:rPr>
                <w:sz w:val="16"/>
                <w:szCs w:val="16"/>
                <w:color w:val="auto"/>
              </w:rPr>
            </w:pPr>
          </w:p>
        </w:tc>
        <w:tc>
          <w:tcPr>
            <w:tcW w:w="960" w:type="dxa"/>
            <w:vAlign w:val="bottom"/>
            <w:shd w:val="clear" w:color="auto" w:fill="DFE4EA"/>
          </w:tcPr>
          <w:p>
            <w:pPr>
              <w:spacing w:after="0"/>
              <w:rPr>
                <w:sz w:val="16"/>
                <w:szCs w:val="16"/>
                <w:color w:val="auto"/>
              </w:rPr>
            </w:pPr>
          </w:p>
        </w:tc>
        <w:tc>
          <w:tcPr>
            <w:tcW w:w="108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1"/>
              </w:rPr>
              <w:t>77,134</w:t>
            </w:r>
            <w:r>
              <w:rPr>
                <w:rFonts w:ascii="Arial" w:cs="Arial" w:eastAsia="Arial" w:hAnsi="Arial"/>
                <w:sz w:val="15"/>
                <w:szCs w:val="15"/>
                <w:color w:val="auto"/>
                <w:w w:val="91"/>
                <w:vertAlign w:val="superscript"/>
              </w:rPr>
              <w:t>(5)</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7"/>
              </w:rPr>
              <w:t>3,518,082</w:t>
            </w:r>
          </w:p>
        </w:tc>
        <w:tc>
          <w:tcPr>
            <w:tcW w:w="98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shd w:val="clear" w:color="auto" w:fill="DFE4EA"/>
          </w:tcPr>
          <w:p>
            <w:pPr>
              <w:spacing w:after="0"/>
              <w:rPr>
                <w:sz w:val="12"/>
                <w:szCs w:val="12"/>
                <w:color w:val="auto"/>
              </w:rPr>
            </w:pPr>
          </w:p>
        </w:tc>
        <w:tc>
          <w:tcPr>
            <w:tcW w:w="960" w:type="dxa"/>
            <w:vAlign w:val="bottom"/>
            <w:shd w:val="clear" w:color="auto" w:fill="DFE4EA"/>
          </w:tcPr>
          <w:p>
            <w:pPr>
              <w:spacing w:after="0"/>
              <w:rPr>
                <w:sz w:val="12"/>
                <w:szCs w:val="12"/>
                <w:color w:val="auto"/>
              </w:rPr>
            </w:pPr>
          </w:p>
        </w:tc>
        <w:tc>
          <w:tcPr>
            <w:tcW w:w="1080" w:type="dxa"/>
            <w:vAlign w:val="bottom"/>
            <w:shd w:val="clear" w:color="auto" w:fill="DFE4EA"/>
          </w:tcPr>
          <w:p>
            <w:pPr>
              <w:spacing w:after="0"/>
              <w:rPr>
                <w:sz w:val="12"/>
                <w:szCs w:val="12"/>
                <w:color w:val="auto"/>
              </w:rPr>
            </w:pPr>
          </w:p>
        </w:tc>
        <w:tc>
          <w:tcPr>
            <w:tcW w:w="920" w:type="dxa"/>
            <w:vAlign w:val="bottom"/>
            <w:shd w:val="clear" w:color="auto" w:fill="DFE4EA"/>
          </w:tcPr>
          <w:p>
            <w:pPr>
              <w:spacing w:after="0"/>
              <w:rPr>
                <w:sz w:val="12"/>
                <w:szCs w:val="12"/>
                <w:color w:val="auto"/>
              </w:rPr>
            </w:pPr>
          </w:p>
        </w:tc>
        <w:tc>
          <w:tcPr>
            <w:tcW w:w="920" w:type="dxa"/>
            <w:vAlign w:val="bottom"/>
            <w:shd w:val="clear" w:color="auto" w:fill="DFE4EA"/>
          </w:tcPr>
          <w:p>
            <w:pPr>
              <w:spacing w:after="0"/>
              <w:rPr>
                <w:sz w:val="12"/>
                <w:szCs w:val="12"/>
                <w:color w:val="auto"/>
              </w:rPr>
            </w:pPr>
          </w:p>
        </w:tc>
        <w:tc>
          <w:tcPr>
            <w:tcW w:w="1000" w:type="dxa"/>
            <w:vAlign w:val="bottom"/>
            <w:shd w:val="clear" w:color="auto" w:fill="DFE4EA"/>
          </w:tcPr>
          <w:p>
            <w:pPr>
              <w:spacing w:after="0"/>
              <w:rPr>
                <w:sz w:val="12"/>
                <w:szCs w:val="12"/>
                <w:color w:val="auto"/>
              </w:rPr>
            </w:pPr>
          </w:p>
        </w:tc>
        <w:tc>
          <w:tcPr>
            <w:tcW w:w="1000" w:type="dxa"/>
            <w:vAlign w:val="bottom"/>
            <w:shd w:val="clear" w:color="auto" w:fill="DFE4EA"/>
          </w:tcPr>
          <w:p>
            <w:pPr>
              <w:jc w:val="center"/>
              <w:spacing w:after="0" w:line="139" w:lineRule="exact"/>
              <w:rPr>
                <w:sz w:val="20"/>
                <w:szCs w:val="20"/>
                <w:color w:val="auto"/>
              </w:rPr>
            </w:pPr>
            <w:r>
              <w:rPr>
                <w:rFonts w:ascii="Arial" w:cs="Arial" w:eastAsia="Arial" w:hAnsi="Arial"/>
                <w:sz w:val="11"/>
                <w:szCs w:val="11"/>
                <w:color w:val="auto"/>
                <w:w w:val="88"/>
              </w:rPr>
              <w:t>116,948</w:t>
            </w:r>
            <w:r>
              <w:rPr>
                <w:rFonts w:ascii="Arial" w:cs="Arial" w:eastAsia="Arial" w:hAnsi="Arial"/>
                <w:sz w:val="15"/>
                <w:szCs w:val="15"/>
                <w:color w:val="auto"/>
                <w:w w:val="88"/>
                <w:vertAlign w:val="superscript"/>
              </w:rPr>
              <w:t>(7)</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7"/>
              </w:rPr>
              <w:t>5,333,998</w:t>
            </w:r>
          </w:p>
        </w:tc>
        <w:tc>
          <w:tcPr>
            <w:tcW w:w="980" w:type="dxa"/>
            <w:vAlign w:val="bottom"/>
            <w:shd w:val="clear" w:color="auto" w:fill="DFE4EA"/>
          </w:tcPr>
          <w:p>
            <w:pPr>
              <w:spacing w:after="0"/>
              <w:rPr>
                <w:sz w:val="12"/>
                <w:szCs w:val="12"/>
                <w:color w:val="auto"/>
              </w:rPr>
            </w:pPr>
          </w:p>
        </w:tc>
        <w:tc>
          <w:tcPr>
            <w:tcW w:w="1000" w:type="dxa"/>
            <w:vAlign w:val="bottom"/>
            <w:shd w:val="clear" w:color="auto" w:fill="DFE4EA"/>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160" w:type="dxa"/>
            <w:vAlign w:val="bottom"/>
            <w:shd w:val="clear" w:color="auto" w:fill="DFE4EA"/>
          </w:tcPr>
          <w:p>
            <w:pPr>
              <w:spacing w:after="0"/>
              <w:rPr>
                <w:sz w:val="8"/>
                <w:szCs w:val="8"/>
                <w:color w:val="auto"/>
              </w:rPr>
            </w:pPr>
          </w:p>
        </w:tc>
        <w:tc>
          <w:tcPr>
            <w:tcW w:w="960" w:type="dxa"/>
            <w:vAlign w:val="bottom"/>
            <w:shd w:val="clear" w:color="auto" w:fill="DFE4EA"/>
          </w:tcPr>
          <w:p>
            <w:pPr>
              <w:spacing w:after="0"/>
              <w:rPr>
                <w:sz w:val="8"/>
                <w:szCs w:val="8"/>
                <w:color w:val="auto"/>
              </w:rPr>
            </w:pPr>
          </w:p>
        </w:tc>
        <w:tc>
          <w:tcPr>
            <w:tcW w:w="108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1000" w:type="dxa"/>
            <w:vAlign w:val="bottom"/>
            <w:shd w:val="clear" w:color="auto" w:fill="DFE4EA"/>
          </w:tcPr>
          <w:p>
            <w:pPr>
              <w:jc w:val="right"/>
              <w:ind w:right="249"/>
              <w:spacing w:after="0"/>
              <w:rPr>
                <w:sz w:val="20"/>
                <w:szCs w:val="20"/>
                <w:color w:val="auto"/>
              </w:rPr>
            </w:pPr>
            <w:r>
              <w:rPr>
                <w:rFonts w:ascii="Arial" w:cs="Arial" w:eastAsia="Arial" w:hAnsi="Arial"/>
                <w:sz w:val="8"/>
                <w:szCs w:val="8"/>
                <w:color w:val="auto"/>
              </w:rPr>
              <w:t>(6)</w:t>
            </w:r>
          </w:p>
        </w:tc>
        <w:tc>
          <w:tcPr>
            <w:tcW w:w="1000" w:type="dxa"/>
            <w:vAlign w:val="bottom"/>
            <w:shd w:val="clear" w:color="auto" w:fill="DFE4EA"/>
          </w:tcPr>
          <w:p>
            <w:pPr>
              <w:jc w:val="center"/>
              <w:spacing w:after="0" w:line="93" w:lineRule="exact"/>
              <w:rPr>
                <w:sz w:val="20"/>
                <w:szCs w:val="20"/>
                <w:color w:val="auto"/>
              </w:rPr>
            </w:pPr>
            <w:r>
              <w:rPr>
                <w:rFonts w:ascii="Arial" w:cs="Arial" w:eastAsia="Arial" w:hAnsi="Arial"/>
                <w:sz w:val="10"/>
                <w:szCs w:val="10"/>
                <w:color w:val="auto"/>
              </w:rPr>
              <w:t>4,493,680</w:t>
            </w:r>
          </w:p>
        </w:tc>
        <w:tc>
          <w:tcPr>
            <w:tcW w:w="98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shd w:val="clear" w:color="auto" w:fill="DFE4EA"/>
          </w:tcPr>
          <w:p>
            <w:pPr>
              <w:spacing w:after="0"/>
              <w:rPr>
                <w:sz w:val="8"/>
                <w:szCs w:val="8"/>
                <w:color w:val="auto"/>
              </w:rPr>
            </w:pPr>
          </w:p>
        </w:tc>
        <w:tc>
          <w:tcPr>
            <w:tcW w:w="960" w:type="dxa"/>
            <w:vAlign w:val="bottom"/>
            <w:shd w:val="clear" w:color="auto" w:fill="DFE4EA"/>
          </w:tcPr>
          <w:p>
            <w:pPr>
              <w:spacing w:after="0"/>
              <w:rPr>
                <w:sz w:val="8"/>
                <w:szCs w:val="8"/>
                <w:color w:val="auto"/>
              </w:rPr>
            </w:pPr>
          </w:p>
        </w:tc>
        <w:tc>
          <w:tcPr>
            <w:tcW w:w="108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1000" w:type="dxa"/>
            <w:vAlign w:val="bottom"/>
            <w:shd w:val="clear" w:color="auto" w:fill="DFE4EA"/>
          </w:tcPr>
          <w:p>
            <w:pPr>
              <w:jc w:val="right"/>
              <w:ind w:right="349"/>
              <w:spacing w:after="0" w:line="93" w:lineRule="exact"/>
              <w:rPr>
                <w:sz w:val="20"/>
                <w:szCs w:val="20"/>
                <w:color w:val="auto"/>
              </w:rPr>
            </w:pPr>
            <w:r>
              <w:rPr>
                <w:rFonts w:ascii="Arial" w:cs="Arial" w:eastAsia="Arial" w:hAnsi="Arial"/>
                <w:sz w:val="10"/>
                <w:szCs w:val="10"/>
                <w:color w:val="auto"/>
              </w:rPr>
              <w:t>98,524</w:t>
            </w:r>
          </w:p>
        </w:tc>
        <w:tc>
          <w:tcPr>
            <w:tcW w:w="1000" w:type="dxa"/>
            <w:vAlign w:val="bottom"/>
            <w:shd w:val="clear" w:color="auto" w:fill="DFE4EA"/>
          </w:tcPr>
          <w:p>
            <w:pPr>
              <w:spacing w:after="0"/>
              <w:rPr>
                <w:sz w:val="8"/>
                <w:szCs w:val="8"/>
                <w:color w:val="auto"/>
              </w:rPr>
            </w:pPr>
          </w:p>
        </w:tc>
        <w:tc>
          <w:tcPr>
            <w:tcW w:w="98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20"/>
                <w:szCs w:val="20"/>
                <w:color w:val="auto"/>
              </w:rPr>
            </w:pPr>
            <w:r>
              <w:rPr>
                <w:rFonts w:ascii="Arial" w:cs="Arial" w:eastAsia="Arial" w:hAnsi="Arial"/>
                <w:sz w:val="11"/>
                <w:szCs w:val="11"/>
                <w:color w:val="auto"/>
              </w:rPr>
              <w:t>Lance A. Berry</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62,422</w:t>
            </w:r>
          </w:p>
        </w:tc>
        <w:tc>
          <w:tcPr>
            <w:tcW w:w="1080" w:type="dxa"/>
            <w:vAlign w:val="bottom"/>
          </w:tcPr>
          <w:p>
            <w:pPr>
              <w:jc w:val="center"/>
              <w:ind w:right="267"/>
              <w:spacing w:after="0"/>
              <w:rPr>
                <w:sz w:val="20"/>
                <w:szCs w:val="20"/>
                <w:color w:val="auto"/>
              </w:rPr>
            </w:pPr>
            <w:r>
              <w:rPr>
                <w:rFonts w:ascii="Arial" w:cs="Arial" w:eastAsia="Arial" w:hAnsi="Arial"/>
                <w:sz w:val="11"/>
                <w:szCs w:val="11"/>
                <w:color w:val="auto"/>
              </w:rPr>
              <w:t>31,211</w:t>
            </w:r>
            <w:r>
              <w:rPr>
                <w:rFonts w:ascii="Arial" w:cs="Arial" w:eastAsia="Arial" w:hAnsi="Arial"/>
                <w:sz w:val="15"/>
                <w:szCs w:val="15"/>
                <w:color w:val="auto"/>
                <w:vertAlign w:val="superscript"/>
              </w:rPr>
              <w:t>(2)</w:t>
            </w:r>
          </w:p>
        </w:tc>
        <w:tc>
          <w:tcPr>
            <w:tcW w:w="9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w w:val="94"/>
              </w:rPr>
              <w:t>17.83</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12/6/2030</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1"/>
              </w:rPr>
              <w:t>42,064</w:t>
            </w:r>
            <w:r>
              <w:rPr>
                <w:rFonts w:ascii="Arial" w:cs="Arial" w:eastAsia="Arial" w:hAnsi="Arial"/>
                <w:sz w:val="15"/>
                <w:szCs w:val="15"/>
                <w:color w:val="auto"/>
                <w:w w:val="91"/>
                <w:vertAlign w:val="superscript"/>
              </w:rPr>
              <w:t>(3)</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1,918,539</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1"/>
              </w:rPr>
              <w:t>24,666</w:t>
            </w:r>
            <w:r>
              <w:rPr>
                <w:rFonts w:ascii="Arial" w:cs="Arial" w:eastAsia="Arial" w:hAnsi="Arial"/>
                <w:sz w:val="15"/>
                <w:szCs w:val="15"/>
                <w:color w:val="auto"/>
                <w:w w:val="91"/>
                <w:vertAlign w:val="superscript"/>
              </w:rPr>
              <w:t>(4)</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1,125,016</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1"/>
              </w:rPr>
              <w:t>32,066</w:t>
            </w:r>
            <w:r>
              <w:rPr>
                <w:rFonts w:ascii="Arial" w:cs="Arial" w:eastAsia="Arial" w:hAnsi="Arial"/>
                <w:sz w:val="15"/>
                <w:szCs w:val="15"/>
                <w:color w:val="auto"/>
                <w:w w:val="91"/>
                <w:vertAlign w:val="superscript"/>
              </w:rPr>
              <w:t>(5)</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1,462,530</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Arial" w:cs="Arial" w:eastAsia="Arial" w:hAnsi="Arial"/>
                <w:sz w:val="11"/>
                <w:szCs w:val="11"/>
                <w:color w:val="auto"/>
                <w:w w:val="91"/>
              </w:rPr>
              <w:t>40,874</w:t>
            </w:r>
            <w:r>
              <w:rPr>
                <w:rFonts w:ascii="Arial" w:cs="Arial" w:eastAsia="Arial" w:hAnsi="Arial"/>
                <w:sz w:val="15"/>
                <w:szCs w:val="15"/>
                <w:color w:val="auto"/>
                <w:w w:val="91"/>
                <w:vertAlign w:val="superscript"/>
              </w:rPr>
              <w:t>(7)</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1,864,263</w:t>
            </w: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jc w:val="right"/>
              <w:ind w:right="249"/>
              <w:spacing w:after="0"/>
              <w:rPr>
                <w:sz w:val="20"/>
                <w:szCs w:val="20"/>
                <w:color w:val="auto"/>
              </w:rPr>
            </w:pPr>
            <w:r>
              <w:rPr>
                <w:rFonts w:ascii="Arial" w:cs="Arial" w:eastAsia="Arial" w:hAnsi="Arial"/>
                <w:sz w:val="8"/>
                <w:szCs w:val="8"/>
                <w:color w:val="auto"/>
              </w:rPr>
              <w:t>(6)</w:t>
            </w:r>
          </w:p>
        </w:tc>
        <w:tc>
          <w:tcPr>
            <w:tcW w:w="1000" w:type="dxa"/>
            <w:vAlign w:val="bottom"/>
          </w:tcPr>
          <w:p>
            <w:pPr>
              <w:jc w:val="center"/>
              <w:spacing w:after="0" w:line="93" w:lineRule="exact"/>
              <w:rPr>
                <w:sz w:val="20"/>
                <w:szCs w:val="20"/>
                <w:color w:val="auto"/>
              </w:rPr>
            </w:pPr>
            <w:r>
              <w:rPr>
                <w:rFonts w:ascii="Arial" w:cs="Arial" w:eastAsia="Arial" w:hAnsi="Arial"/>
                <w:sz w:val="10"/>
                <w:szCs w:val="10"/>
                <w:color w:val="auto"/>
              </w:rPr>
              <w:t>1,570,580</w:t>
            </w: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jc w:val="right"/>
              <w:ind w:right="349"/>
              <w:spacing w:after="0" w:line="99" w:lineRule="exact"/>
              <w:rPr>
                <w:sz w:val="20"/>
                <w:szCs w:val="20"/>
                <w:color w:val="auto"/>
              </w:rPr>
            </w:pPr>
            <w:r>
              <w:rPr>
                <w:rFonts w:ascii="Arial" w:cs="Arial" w:eastAsia="Arial" w:hAnsi="Arial"/>
                <w:sz w:val="11"/>
                <w:szCs w:val="11"/>
                <w:color w:val="auto"/>
              </w:rPr>
              <w:t>34,435</w:t>
            </w:r>
          </w:p>
        </w:tc>
        <w:tc>
          <w:tcPr>
            <w:tcW w:w="10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4,789</w:t>
            </w:r>
            <w:r>
              <w:rPr>
                <w:rFonts w:ascii="Arial" w:cs="Arial" w:eastAsia="Arial" w:hAnsi="Arial"/>
                <w:sz w:val="15"/>
                <w:szCs w:val="15"/>
                <w:color w:val="auto"/>
                <w:w w:val="95"/>
                <w:vertAlign w:val="superscript"/>
              </w:rPr>
              <w:t>(8)</w:t>
            </w: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218,426</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160" w:type="dxa"/>
            <w:vAlign w:val="bottom"/>
            <w:shd w:val="clear" w:color="auto" w:fill="DFE4EA"/>
          </w:tcPr>
          <w:p>
            <w:pPr>
              <w:spacing w:after="0"/>
              <w:rPr>
                <w:sz w:val="20"/>
                <w:szCs w:val="20"/>
                <w:color w:val="auto"/>
              </w:rPr>
            </w:pPr>
            <w:r>
              <w:rPr>
                <w:rFonts w:ascii="Arial" w:cs="Arial" w:eastAsia="Arial" w:hAnsi="Arial"/>
                <w:sz w:val="11"/>
                <w:szCs w:val="11"/>
                <w:color w:val="auto"/>
              </w:rPr>
              <w:t>Jean F. Holloway</w:t>
            </w:r>
          </w:p>
        </w:tc>
        <w:tc>
          <w:tcPr>
            <w:tcW w:w="96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19,247</w:t>
            </w:r>
          </w:p>
        </w:tc>
        <w:tc>
          <w:tcPr>
            <w:tcW w:w="1080" w:type="dxa"/>
            <w:vAlign w:val="bottom"/>
            <w:shd w:val="clear" w:color="auto" w:fill="DFE4EA"/>
          </w:tcPr>
          <w:p>
            <w:pPr>
              <w:spacing w:after="0"/>
              <w:rPr>
                <w:sz w:val="13"/>
                <w:szCs w:val="13"/>
                <w:color w:val="auto"/>
              </w:rPr>
            </w:pPr>
          </w:p>
        </w:tc>
        <w:tc>
          <w:tcPr>
            <w:tcW w:w="920" w:type="dxa"/>
            <w:vAlign w:val="bottom"/>
            <w:shd w:val="clear" w:color="auto" w:fill="DFE4EA"/>
          </w:tcPr>
          <w:p>
            <w:pPr>
              <w:spacing w:after="0"/>
              <w:rPr>
                <w:sz w:val="13"/>
                <w:szCs w:val="13"/>
                <w:color w:val="auto"/>
              </w:rPr>
            </w:pPr>
          </w:p>
        </w:tc>
        <w:tc>
          <w:tcPr>
            <w:tcW w:w="92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24.90</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7"/>
              </w:rPr>
              <w:t>2/17/2028</w:t>
            </w:r>
          </w:p>
        </w:tc>
        <w:tc>
          <w:tcPr>
            <w:tcW w:w="1000" w:type="dxa"/>
            <w:vAlign w:val="bottom"/>
            <w:shd w:val="clear" w:color="auto" w:fill="DFE4EA"/>
          </w:tcPr>
          <w:p>
            <w:pPr>
              <w:spacing w:after="0"/>
              <w:rPr>
                <w:sz w:val="13"/>
                <w:szCs w:val="13"/>
                <w:color w:val="auto"/>
              </w:rPr>
            </w:pPr>
          </w:p>
        </w:tc>
        <w:tc>
          <w:tcPr>
            <w:tcW w:w="1000" w:type="dxa"/>
            <w:vAlign w:val="bottom"/>
            <w:shd w:val="clear" w:color="auto" w:fill="DFE4EA"/>
          </w:tcPr>
          <w:p>
            <w:pPr>
              <w:spacing w:after="0"/>
              <w:rPr>
                <w:sz w:val="13"/>
                <w:szCs w:val="13"/>
                <w:color w:val="auto"/>
              </w:rPr>
            </w:pPr>
          </w:p>
        </w:tc>
        <w:tc>
          <w:tcPr>
            <w:tcW w:w="980" w:type="dxa"/>
            <w:vAlign w:val="bottom"/>
            <w:shd w:val="clear" w:color="auto" w:fill="DFE4EA"/>
          </w:tcPr>
          <w:p>
            <w:pPr>
              <w:spacing w:after="0"/>
              <w:rPr>
                <w:sz w:val="13"/>
                <w:szCs w:val="13"/>
                <w:color w:val="auto"/>
              </w:rPr>
            </w:pPr>
          </w:p>
        </w:tc>
        <w:tc>
          <w:tcPr>
            <w:tcW w:w="1000" w:type="dxa"/>
            <w:vAlign w:val="bottom"/>
            <w:shd w:val="clear" w:color="auto" w:fill="DFE4E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DFE4EA"/>
          </w:tcPr>
          <w:p>
            <w:pPr>
              <w:spacing w:after="0"/>
              <w:rPr>
                <w:sz w:val="14"/>
                <w:szCs w:val="14"/>
                <w:color w:val="auto"/>
              </w:rPr>
            </w:pPr>
          </w:p>
        </w:tc>
        <w:tc>
          <w:tcPr>
            <w:tcW w:w="96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23,295</w:t>
            </w:r>
          </w:p>
        </w:tc>
        <w:tc>
          <w:tcPr>
            <w:tcW w:w="1080" w:type="dxa"/>
            <w:vAlign w:val="bottom"/>
            <w:shd w:val="clear" w:color="auto" w:fill="DFE4EA"/>
          </w:tcPr>
          <w:p>
            <w:pPr>
              <w:spacing w:after="0"/>
              <w:rPr>
                <w:sz w:val="14"/>
                <w:szCs w:val="14"/>
                <w:color w:val="auto"/>
              </w:rPr>
            </w:pPr>
          </w:p>
        </w:tc>
        <w:tc>
          <w:tcPr>
            <w:tcW w:w="920" w:type="dxa"/>
            <w:vAlign w:val="bottom"/>
            <w:shd w:val="clear" w:color="auto" w:fill="DFE4EA"/>
          </w:tcPr>
          <w:p>
            <w:pPr>
              <w:spacing w:after="0"/>
              <w:rPr>
                <w:sz w:val="14"/>
                <w:szCs w:val="14"/>
                <w:color w:val="auto"/>
              </w:rPr>
            </w:pPr>
          </w:p>
        </w:tc>
        <w:tc>
          <w:tcPr>
            <w:tcW w:w="92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18.44</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7"/>
              </w:rPr>
              <w:t>2/23/2029</w:t>
            </w:r>
          </w:p>
        </w:tc>
        <w:tc>
          <w:tcPr>
            <w:tcW w:w="1000" w:type="dxa"/>
            <w:vAlign w:val="bottom"/>
            <w:shd w:val="clear" w:color="auto" w:fill="DFE4EA"/>
          </w:tcPr>
          <w:p>
            <w:pPr>
              <w:spacing w:after="0"/>
              <w:rPr>
                <w:sz w:val="14"/>
                <w:szCs w:val="14"/>
                <w:color w:val="auto"/>
              </w:rPr>
            </w:pPr>
          </w:p>
        </w:tc>
        <w:tc>
          <w:tcPr>
            <w:tcW w:w="1000" w:type="dxa"/>
            <w:vAlign w:val="bottom"/>
            <w:shd w:val="clear" w:color="auto" w:fill="DFE4EA"/>
          </w:tcPr>
          <w:p>
            <w:pPr>
              <w:spacing w:after="0"/>
              <w:rPr>
                <w:sz w:val="14"/>
                <w:szCs w:val="14"/>
                <w:color w:val="auto"/>
              </w:rPr>
            </w:pPr>
          </w:p>
        </w:tc>
        <w:tc>
          <w:tcPr>
            <w:tcW w:w="980" w:type="dxa"/>
            <w:vAlign w:val="bottom"/>
            <w:shd w:val="clear" w:color="auto" w:fill="DFE4EA"/>
          </w:tcPr>
          <w:p>
            <w:pPr>
              <w:spacing w:after="0"/>
              <w:rPr>
                <w:sz w:val="14"/>
                <w:szCs w:val="14"/>
                <w:color w:val="auto"/>
              </w:rPr>
            </w:pPr>
          </w:p>
        </w:tc>
        <w:tc>
          <w:tcPr>
            <w:tcW w:w="1000" w:type="dxa"/>
            <w:vAlign w:val="bottom"/>
            <w:shd w:val="clear" w:color="auto" w:fill="DFE4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DFE4EA"/>
          </w:tcPr>
          <w:p>
            <w:pPr>
              <w:spacing w:after="0"/>
              <w:rPr>
                <w:sz w:val="14"/>
                <w:szCs w:val="14"/>
                <w:color w:val="auto"/>
              </w:rPr>
            </w:pPr>
          </w:p>
        </w:tc>
        <w:tc>
          <w:tcPr>
            <w:tcW w:w="96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33,804</w:t>
            </w:r>
          </w:p>
        </w:tc>
        <w:tc>
          <w:tcPr>
            <w:tcW w:w="1080" w:type="dxa"/>
            <w:vAlign w:val="bottom"/>
            <w:shd w:val="clear" w:color="auto" w:fill="DFE4EA"/>
          </w:tcPr>
          <w:p>
            <w:pPr>
              <w:spacing w:after="0"/>
              <w:rPr>
                <w:sz w:val="14"/>
                <w:szCs w:val="14"/>
                <w:color w:val="auto"/>
              </w:rPr>
            </w:pPr>
          </w:p>
        </w:tc>
        <w:tc>
          <w:tcPr>
            <w:tcW w:w="920" w:type="dxa"/>
            <w:vAlign w:val="bottom"/>
            <w:shd w:val="clear" w:color="auto" w:fill="DFE4EA"/>
          </w:tcPr>
          <w:p>
            <w:pPr>
              <w:spacing w:after="0"/>
              <w:rPr>
                <w:sz w:val="14"/>
                <w:szCs w:val="14"/>
                <w:color w:val="auto"/>
              </w:rPr>
            </w:pPr>
          </w:p>
        </w:tc>
        <w:tc>
          <w:tcPr>
            <w:tcW w:w="92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4"/>
              </w:rPr>
              <w:t>11.03</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7"/>
              </w:rPr>
              <w:t>11/8/2029</w:t>
            </w:r>
          </w:p>
        </w:tc>
        <w:tc>
          <w:tcPr>
            <w:tcW w:w="1000" w:type="dxa"/>
            <w:vAlign w:val="bottom"/>
            <w:shd w:val="clear" w:color="auto" w:fill="DFE4EA"/>
          </w:tcPr>
          <w:p>
            <w:pPr>
              <w:spacing w:after="0"/>
              <w:rPr>
                <w:sz w:val="14"/>
                <w:szCs w:val="14"/>
                <w:color w:val="auto"/>
              </w:rPr>
            </w:pPr>
          </w:p>
        </w:tc>
        <w:tc>
          <w:tcPr>
            <w:tcW w:w="1000" w:type="dxa"/>
            <w:vAlign w:val="bottom"/>
            <w:shd w:val="clear" w:color="auto" w:fill="DFE4EA"/>
          </w:tcPr>
          <w:p>
            <w:pPr>
              <w:spacing w:after="0"/>
              <w:rPr>
                <w:sz w:val="14"/>
                <w:szCs w:val="14"/>
                <w:color w:val="auto"/>
              </w:rPr>
            </w:pPr>
          </w:p>
        </w:tc>
        <w:tc>
          <w:tcPr>
            <w:tcW w:w="980" w:type="dxa"/>
            <w:vAlign w:val="bottom"/>
            <w:shd w:val="clear" w:color="auto" w:fill="DFE4EA"/>
          </w:tcPr>
          <w:p>
            <w:pPr>
              <w:spacing w:after="0"/>
              <w:rPr>
                <w:sz w:val="14"/>
                <w:szCs w:val="14"/>
                <w:color w:val="auto"/>
              </w:rPr>
            </w:pPr>
          </w:p>
        </w:tc>
        <w:tc>
          <w:tcPr>
            <w:tcW w:w="1000" w:type="dxa"/>
            <w:vAlign w:val="bottom"/>
            <w:shd w:val="clear" w:color="auto" w:fill="DFE4E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60" w:type="dxa"/>
            <w:vAlign w:val="bottom"/>
            <w:shd w:val="clear" w:color="auto" w:fill="DFE4EA"/>
          </w:tcPr>
          <w:p>
            <w:pPr>
              <w:spacing w:after="0"/>
              <w:rPr>
                <w:sz w:val="17"/>
                <w:szCs w:val="17"/>
                <w:color w:val="auto"/>
              </w:rPr>
            </w:pPr>
          </w:p>
        </w:tc>
        <w:tc>
          <w:tcPr>
            <w:tcW w:w="960" w:type="dxa"/>
            <w:vAlign w:val="bottom"/>
            <w:shd w:val="clear" w:color="auto" w:fill="DFE4EA"/>
          </w:tcPr>
          <w:p>
            <w:pPr>
              <w:spacing w:after="0"/>
              <w:rPr>
                <w:sz w:val="17"/>
                <w:szCs w:val="17"/>
                <w:color w:val="auto"/>
              </w:rPr>
            </w:pPr>
          </w:p>
        </w:tc>
        <w:tc>
          <w:tcPr>
            <w:tcW w:w="1080" w:type="dxa"/>
            <w:vAlign w:val="bottom"/>
            <w:shd w:val="clear" w:color="auto" w:fill="DFE4EA"/>
          </w:tcPr>
          <w:p>
            <w:pPr>
              <w:spacing w:after="0"/>
              <w:rPr>
                <w:sz w:val="17"/>
                <w:szCs w:val="17"/>
                <w:color w:val="auto"/>
              </w:rPr>
            </w:pPr>
          </w:p>
        </w:tc>
        <w:tc>
          <w:tcPr>
            <w:tcW w:w="920" w:type="dxa"/>
            <w:vAlign w:val="bottom"/>
            <w:shd w:val="clear" w:color="auto" w:fill="DFE4EA"/>
          </w:tcPr>
          <w:p>
            <w:pPr>
              <w:spacing w:after="0"/>
              <w:rPr>
                <w:sz w:val="17"/>
                <w:szCs w:val="17"/>
                <w:color w:val="auto"/>
              </w:rPr>
            </w:pPr>
          </w:p>
        </w:tc>
        <w:tc>
          <w:tcPr>
            <w:tcW w:w="920" w:type="dxa"/>
            <w:vAlign w:val="bottom"/>
            <w:shd w:val="clear" w:color="auto" w:fill="DFE4EA"/>
          </w:tcPr>
          <w:p>
            <w:pPr>
              <w:spacing w:after="0"/>
              <w:rPr>
                <w:sz w:val="17"/>
                <w:szCs w:val="17"/>
                <w:color w:val="auto"/>
              </w:rPr>
            </w:pPr>
          </w:p>
        </w:tc>
        <w:tc>
          <w:tcPr>
            <w:tcW w:w="1000" w:type="dxa"/>
            <w:vAlign w:val="bottom"/>
            <w:shd w:val="clear" w:color="auto" w:fill="DFE4EA"/>
          </w:tcPr>
          <w:p>
            <w:pPr>
              <w:spacing w:after="0"/>
              <w:rPr>
                <w:sz w:val="17"/>
                <w:szCs w:val="17"/>
                <w:color w:val="auto"/>
              </w:rPr>
            </w:pP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5"/>
              </w:rPr>
              <w:t>3,208</w:t>
            </w:r>
            <w:r>
              <w:rPr>
                <w:rFonts w:ascii="Arial" w:cs="Arial" w:eastAsia="Arial" w:hAnsi="Arial"/>
                <w:sz w:val="15"/>
                <w:szCs w:val="15"/>
                <w:color w:val="auto"/>
                <w:w w:val="95"/>
                <w:vertAlign w:val="superscript"/>
              </w:rPr>
              <w:t>(1)</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5"/>
              </w:rPr>
              <w:t>146,317</w:t>
            </w:r>
          </w:p>
        </w:tc>
        <w:tc>
          <w:tcPr>
            <w:tcW w:w="980" w:type="dxa"/>
            <w:vAlign w:val="bottom"/>
            <w:shd w:val="clear" w:color="auto" w:fill="DFE4EA"/>
          </w:tcPr>
          <w:p>
            <w:pPr>
              <w:spacing w:after="0"/>
              <w:rPr>
                <w:sz w:val="17"/>
                <w:szCs w:val="17"/>
                <w:color w:val="auto"/>
              </w:rPr>
            </w:pPr>
          </w:p>
        </w:tc>
        <w:tc>
          <w:tcPr>
            <w:tcW w:w="1000" w:type="dxa"/>
            <w:vAlign w:val="bottom"/>
            <w:shd w:val="clear" w:color="auto" w:fill="DFE4EA"/>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160" w:type="dxa"/>
            <w:vAlign w:val="bottom"/>
            <w:shd w:val="clear" w:color="auto" w:fill="DFE4EA"/>
          </w:tcPr>
          <w:p>
            <w:pPr>
              <w:spacing w:after="0"/>
              <w:rPr>
                <w:sz w:val="16"/>
                <w:szCs w:val="16"/>
                <w:color w:val="auto"/>
              </w:rPr>
            </w:pPr>
          </w:p>
        </w:tc>
        <w:tc>
          <w:tcPr>
            <w:tcW w:w="960" w:type="dxa"/>
            <w:vAlign w:val="bottom"/>
            <w:shd w:val="clear" w:color="auto" w:fill="DFE4EA"/>
          </w:tcPr>
          <w:p>
            <w:pPr>
              <w:spacing w:after="0"/>
              <w:rPr>
                <w:sz w:val="16"/>
                <w:szCs w:val="16"/>
                <w:color w:val="auto"/>
              </w:rPr>
            </w:pPr>
          </w:p>
        </w:tc>
        <w:tc>
          <w:tcPr>
            <w:tcW w:w="108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1"/>
              </w:rPr>
              <w:t>13,073</w:t>
            </w:r>
            <w:r>
              <w:rPr>
                <w:rFonts w:ascii="Arial" w:cs="Arial" w:eastAsia="Arial" w:hAnsi="Arial"/>
                <w:sz w:val="15"/>
                <w:szCs w:val="15"/>
                <w:color w:val="auto"/>
                <w:w w:val="91"/>
                <w:vertAlign w:val="superscript"/>
              </w:rPr>
              <w:t>(4)</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5"/>
              </w:rPr>
              <w:t>596,260</w:t>
            </w:r>
          </w:p>
        </w:tc>
        <w:tc>
          <w:tcPr>
            <w:tcW w:w="98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shd w:val="clear" w:color="auto" w:fill="DFE4EA"/>
          </w:tcPr>
          <w:p>
            <w:pPr>
              <w:spacing w:after="0"/>
              <w:rPr>
                <w:sz w:val="16"/>
                <w:szCs w:val="16"/>
                <w:color w:val="auto"/>
              </w:rPr>
            </w:pPr>
          </w:p>
        </w:tc>
        <w:tc>
          <w:tcPr>
            <w:tcW w:w="960" w:type="dxa"/>
            <w:vAlign w:val="bottom"/>
            <w:shd w:val="clear" w:color="auto" w:fill="DFE4EA"/>
          </w:tcPr>
          <w:p>
            <w:pPr>
              <w:spacing w:after="0"/>
              <w:rPr>
                <w:sz w:val="16"/>
                <w:szCs w:val="16"/>
                <w:color w:val="auto"/>
              </w:rPr>
            </w:pPr>
          </w:p>
        </w:tc>
        <w:tc>
          <w:tcPr>
            <w:tcW w:w="108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1"/>
              </w:rPr>
              <w:t>16,995</w:t>
            </w:r>
            <w:r>
              <w:rPr>
                <w:rFonts w:ascii="Arial" w:cs="Arial" w:eastAsia="Arial" w:hAnsi="Arial"/>
                <w:sz w:val="15"/>
                <w:szCs w:val="15"/>
                <w:color w:val="auto"/>
                <w:w w:val="91"/>
                <w:vertAlign w:val="superscript"/>
              </w:rPr>
              <w:t>(5)</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5"/>
              </w:rPr>
              <w:t>775,142</w:t>
            </w:r>
          </w:p>
        </w:tc>
        <w:tc>
          <w:tcPr>
            <w:tcW w:w="98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shd w:val="clear" w:color="auto" w:fill="DFE4EA"/>
          </w:tcPr>
          <w:p>
            <w:pPr>
              <w:spacing w:after="0"/>
              <w:rPr>
                <w:sz w:val="12"/>
                <w:szCs w:val="12"/>
                <w:color w:val="auto"/>
              </w:rPr>
            </w:pPr>
          </w:p>
        </w:tc>
        <w:tc>
          <w:tcPr>
            <w:tcW w:w="960" w:type="dxa"/>
            <w:vAlign w:val="bottom"/>
            <w:shd w:val="clear" w:color="auto" w:fill="DFE4EA"/>
          </w:tcPr>
          <w:p>
            <w:pPr>
              <w:spacing w:after="0"/>
              <w:rPr>
                <w:sz w:val="12"/>
                <w:szCs w:val="12"/>
                <w:color w:val="auto"/>
              </w:rPr>
            </w:pPr>
          </w:p>
        </w:tc>
        <w:tc>
          <w:tcPr>
            <w:tcW w:w="1080" w:type="dxa"/>
            <w:vAlign w:val="bottom"/>
            <w:shd w:val="clear" w:color="auto" w:fill="DFE4EA"/>
          </w:tcPr>
          <w:p>
            <w:pPr>
              <w:spacing w:after="0"/>
              <w:rPr>
                <w:sz w:val="12"/>
                <w:szCs w:val="12"/>
                <w:color w:val="auto"/>
              </w:rPr>
            </w:pPr>
          </w:p>
        </w:tc>
        <w:tc>
          <w:tcPr>
            <w:tcW w:w="920" w:type="dxa"/>
            <w:vAlign w:val="bottom"/>
            <w:shd w:val="clear" w:color="auto" w:fill="DFE4EA"/>
          </w:tcPr>
          <w:p>
            <w:pPr>
              <w:spacing w:after="0"/>
              <w:rPr>
                <w:sz w:val="12"/>
                <w:szCs w:val="12"/>
                <w:color w:val="auto"/>
              </w:rPr>
            </w:pPr>
          </w:p>
        </w:tc>
        <w:tc>
          <w:tcPr>
            <w:tcW w:w="920" w:type="dxa"/>
            <w:vAlign w:val="bottom"/>
            <w:shd w:val="clear" w:color="auto" w:fill="DFE4EA"/>
          </w:tcPr>
          <w:p>
            <w:pPr>
              <w:spacing w:after="0"/>
              <w:rPr>
                <w:sz w:val="12"/>
                <w:szCs w:val="12"/>
                <w:color w:val="auto"/>
              </w:rPr>
            </w:pPr>
          </w:p>
        </w:tc>
        <w:tc>
          <w:tcPr>
            <w:tcW w:w="1000" w:type="dxa"/>
            <w:vAlign w:val="bottom"/>
            <w:shd w:val="clear" w:color="auto" w:fill="DFE4EA"/>
          </w:tcPr>
          <w:p>
            <w:pPr>
              <w:spacing w:after="0"/>
              <w:rPr>
                <w:sz w:val="12"/>
                <w:szCs w:val="12"/>
                <w:color w:val="auto"/>
              </w:rPr>
            </w:pPr>
          </w:p>
        </w:tc>
        <w:tc>
          <w:tcPr>
            <w:tcW w:w="1000" w:type="dxa"/>
            <w:vAlign w:val="bottom"/>
            <w:shd w:val="clear" w:color="auto" w:fill="DFE4EA"/>
          </w:tcPr>
          <w:p>
            <w:pPr>
              <w:jc w:val="center"/>
              <w:spacing w:after="0" w:line="139" w:lineRule="exact"/>
              <w:rPr>
                <w:sz w:val="20"/>
                <w:szCs w:val="20"/>
                <w:color w:val="auto"/>
              </w:rPr>
            </w:pPr>
            <w:r>
              <w:rPr>
                <w:rFonts w:ascii="Arial" w:cs="Arial" w:eastAsia="Arial" w:hAnsi="Arial"/>
                <w:sz w:val="11"/>
                <w:szCs w:val="11"/>
                <w:color w:val="auto"/>
                <w:w w:val="91"/>
              </w:rPr>
              <w:t>27,795</w:t>
            </w:r>
            <w:r>
              <w:rPr>
                <w:rFonts w:ascii="Arial" w:cs="Arial" w:eastAsia="Arial" w:hAnsi="Arial"/>
                <w:sz w:val="15"/>
                <w:szCs w:val="15"/>
                <w:color w:val="auto"/>
                <w:w w:val="91"/>
                <w:vertAlign w:val="superscript"/>
              </w:rPr>
              <w:t>(7)</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7"/>
              </w:rPr>
              <w:t>1,267,730</w:t>
            </w:r>
          </w:p>
        </w:tc>
        <w:tc>
          <w:tcPr>
            <w:tcW w:w="980" w:type="dxa"/>
            <w:vAlign w:val="bottom"/>
            <w:shd w:val="clear" w:color="auto" w:fill="DFE4EA"/>
          </w:tcPr>
          <w:p>
            <w:pPr>
              <w:spacing w:after="0"/>
              <w:rPr>
                <w:sz w:val="12"/>
                <w:szCs w:val="12"/>
                <w:color w:val="auto"/>
              </w:rPr>
            </w:pPr>
          </w:p>
        </w:tc>
        <w:tc>
          <w:tcPr>
            <w:tcW w:w="1000" w:type="dxa"/>
            <w:vAlign w:val="bottom"/>
            <w:shd w:val="clear" w:color="auto" w:fill="DFE4EA"/>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160" w:type="dxa"/>
            <w:vAlign w:val="bottom"/>
            <w:shd w:val="clear" w:color="auto" w:fill="DFE4EA"/>
          </w:tcPr>
          <w:p>
            <w:pPr>
              <w:spacing w:after="0"/>
              <w:rPr>
                <w:sz w:val="8"/>
                <w:szCs w:val="8"/>
                <w:color w:val="auto"/>
              </w:rPr>
            </w:pPr>
          </w:p>
        </w:tc>
        <w:tc>
          <w:tcPr>
            <w:tcW w:w="960" w:type="dxa"/>
            <w:vAlign w:val="bottom"/>
            <w:shd w:val="clear" w:color="auto" w:fill="DFE4EA"/>
          </w:tcPr>
          <w:p>
            <w:pPr>
              <w:spacing w:after="0"/>
              <w:rPr>
                <w:sz w:val="8"/>
                <w:szCs w:val="8"/>
                <w:color w:val="auto"/>
              </w:rPr>
            </w:pPr>
          </w:p>
        </w:tc>
        <w:tc>
          <w:tcPr>
            <w:tcW w:w="108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1000" w:type="dxa"/>
            <w:vAlign w:val="bottom"/>
            <w:shd w:val="clear" w:color="auto" w:fill="DFE4EA"/>
          </w:tcPr>
          <w:p>
            <w:pPr>
              <w:jc w:val="right"/>
              <w:ind w:right="249"/>
              <w:spacing w:after="0"/>
              <w:rPr>
                <w:sz w:val="20"/>
                <w:szCs w:val="20"/>
                <w:color w:val="auto"/>
              </w:rPr>
            </w:pPr>
            <w:r>
              <w:rPr>
                <w:rFonts w:ascii="Arial" w:cs="Arial" w:eastAsia="Arial" w:hAnsi="Arial"/>
                <w:sz w:val="8"/>
                <w:szCs w:val="8"/>
                <w:color w:val="auto"/>
              </w:rPr>
              <w:t>(6)</w:t>
            </w:r>
          </w:p>
        </w:tc>
        <w:tc>
          <w:tcPr>
            <w:tcW w:w="1000" w:type="dxa"/>
            <w:vAlign w:val="bottom"/>
            <w:shd w:val="clear" w:color="auto" w:fill="DFE4EA"/>
          </w:tcPr>
          <w:p>
            <w:pPr>
              <w:jc w:val="center"/>
              <w:spacing w:after="0" w:line="93" w:lineRule="exact"/>
              <w:rPr>
                <w:sz w:val="20"/>
                <w:szCs w:val="20"/>
                <w:color w:val="auto"/>
              </w:rPr>
            </w:pPr>
            <w:r>
              <w:rPr>
                <w:rFonts w:ascii="Arial" w:cs="Arial" w:eastAsia="Arial" w:hAnsi="Arial"/>
                <w:sz w:val="10"/>
                <w:szCs w:val="10"/>
                <w:color w:val="auto"/>
              </w:rPr>
              <w:t>1,068,004</w:t>
            </w:r>
          </w:p>
        </w:tc>
        <w:tc>
          <w:tcPr>
            <w:tcW w:w="98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shd w:val="clear" w:color="auto" w:fill="DFE4EA"/>
          </w:tcPr>
          <w:p>
            <w:pPr>
              <w:spacing w:after="0"/>
              <w:rPr>
                <w:sz w:val="8"/>
                <w:szCs w:val="8"/>
                <w:color w:val="auto"/>
              </w:rPr>
            </w:pPr>
          </w:p>
        </w:tc>
        <w:tc>
          <w:tcPr>
            <w:tcW w:w="960" w:type="dxa"/>
            <w:vAlign w:val="bottom"/>
            <w:shd w:val="clear" w:color="auto" w:fill="DFE4EA"/>
          </w:tcPr>
          <w:p>
            <w:pPr>
              <w:spacing w:after="0"/>
              <w:rPr>
                <w:sz w:val="8"/>
                <w:szCs w:val="8"/>
                <w:color w:val="auto"/>
              </w:rPr>
            </w:pPr>
          </w:p>
        </w:tc>
        <w:tc>
          <w:tcPr>
            <w:tcW w:w="108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1000" w:type="dxa"/>
            <w:vAlign w:val="bottom"/>
            <w:shd w:val="clear" w:color="auto" w:fill="DFE4EA"/>
          </w:tcPr>
          <w:p>
            <w:pPr>
              <w:jc w:val="right"/>
              <w:ind w:right="349"/>
              <w:spacing w:after="0" w:line="93" w:lineRule="exact"/>
              <w:rPr>
                <w:sz w:val="20"/>
                <w:szCs w:val="20"/>
                <w:color w:val="auto"/>
              </w:rPr>
            </w:pPr>
            <w:r>
              <w:rPr>
                <w:rFonts w:ascii="Arial" w:cs="Arial" w:eastAsia="Arial" w:hAnsi="Arial"/>
                <w:sz w:val="10"/>
                <w:szCs w:val="10"/>
                <w:color w:val="auto"/>
              </w:rPr>
              <w:t>23,416</w:t>
            </w:r>
          </w:p>
        </w:tc>
        <w:tc>
          <w:tcPr>
            <w:tcW w:w="1000" w:type="dxa"/>
            <w:vAlign w:val="bottom"/>
            <w:shd w:val="clear" w:color="auto" w:fill="DFE4EA"/>
          </w:tcPr>
          <w:p>
            <w:pPr>
              <w:spacing w:after="0"/>
              <w:rPr>
                <w:sz w:val="8"/>
                <w:szCs w:val="8"/>
                <w:color w:val="auto"/>
              </w:rPr>
            </w:pPr>
          </w:p>
        </w:tc>
        <w:tc>
          <w:tcPr>
            <w:tcW w:w="98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1"/>
                <w:szCs w:val="11"/>
                <w:color w:val="auto"/>
              </w:rPr>
              <w:t>John E. Davis</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17,008</w:t>
            </w: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w w:val="94"/>
              </w:rPr>
              <w:t>24.90</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2/17/2028</w:t>
            </w: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22,911</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w w:val="94"/>
              </w:rPr>
              <w:t>18.44</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2/23/2029</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53,478</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w w:val="94"/>
              </w:rPr>
              <w:t>11.03</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11/8/2029</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3,183</w:t>
            </w:r>
            <w:r>
              <w:rPr>
                <w:rFonts w:ascii="Arial" w:cs="Arial" w:eastAsia="Arial" w:hAnsi="Arial"/>
                <w:sz w:val="15"/>
                <w:szCs w:val="15"/>
                <w:color w:val="auto"/>
                <w:w w:val="95"/>
                <w:vertAlign w:val="superscript"/>
              </w:rPr>
              <w:t>(1)</w:t>
            </w: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145,177</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1"/>
              </w:rPr>
              <w:t>13,156</w:t>
            </w:r>
            <w:r>
              <w:rPr>
                <w:rFonts w:ascii="Arial" w:cs="Arial" w:eastAsia="Arial" w:hAnsi="Arial"/>
                <w:sz w:val="15"/>
                <w:szCs w:val="15"/>
                <w:color w:val="auto"/>
                <w:w w:val="91"/>
                <w:vertAlign w:val="superscript"/>
              </w:rPr>
              <w:t>(4)</w:t>
            </w: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600,045</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1"/>
              </w:rPr>
              <w:t>17,103</w:t>
            </w:r>
            <w:r>
              <w:rPr>
                <w:rFonts w:ascii="Arial" w:cs="Arial" w:eastAsia="Arial" w:hAnsi="Arial"/>
                <w:sz w:val="15"/>
                <w:szCs w:val="15"/>
                <w:color w:val="auto"/>
                <w:w w:val="91"/>
                <w:vertAlign w:val="superscript"/>
              </w:rPr>
              <w:t>(5)</w:t>
            </w: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780,068</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Arial" w:cs="Arial" w:eastAsia="Arial" w:hAnsi="Arial"/>
                <w:sz w:val="11"/>
                <w:szCs w:val="11"/>
                <w:color w:val="auto"/>
                <w:w w:val="91"/>
              </w:rPr>
              <w:t>28,845</w:t>
            </w:r>
            <w:r>
              <w:rPr>
                <w:rFonts w:ascii="Arial" w:cs="Arial" w:eastAsia="Arial" w:hAnsi="Arial"/>
                <w:sz w:val="15"/>
                <w:szCs w:val="15"/>
                <w:color w:val="auto"/>
                <w:w w:val="91"/>
                <w:vertAlign w:val="superscript"/>
              </w:rPr>
              <w:t>(7)</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1,315,620</w:t>
            </w: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jc w:val="right"/>
              <w:ind w:right="249"/>
              <w:spacing w:after="0"/>
              <w:rPr>
                <w:sz w:val="20"/>
                <w:szCs w:val="20"/>
                <w:color w:val="auto"/>
              </w:rPr>
            </w:pPr>
            <w:r>
              <w:rPr>
                <w:rFonts w:ascii="Arial" w:cs="Arial" w:eastAsia="Arial" w:hAnsi="Arial"/>
                <w:sz w:val="8"/>
                <w:szCs w:val="8"/>
                <w:color w:val="auto"/>
              </w:rPr>
              <w:t>(6)</w:t>
            </w:r>
          </w:p>
        </w:tc>
        <w:tc>
          <w:tcPr>
            <w:tcW w:w="1000" w:type="dxa"/>
            <w:vAlign w:val="bottom"/>
          </w:tcPr>
          <w:p>
            <w:pPr>
              <w:jc w:val="center"/>
              <w:spacing w:after="0" w:line="93" w:lineRule="exact"/>
              <w:rPr>
                <w:sz w:val="20"/>
                <w:szCs w:val="20"/>
                <w:color w:val="auto"/>
              </w:rPr>
            </w:pPr>
            <w:r>
              <w:rPr>
                <w:rFonts w:ascii="Arial" w:cs="Arial" w:eastAsia="Arial" w:hAnsi="Arial"/>
                <w:sz w:val="10"/>
                <w:szCs w:val="10"/>
                <w:color w:val="auto"/>
              </w:rPr>
              <w:t>1,108,369</w:t>
            </w: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jc w:val="right"/>
              <w:ind w:right="349"/>
              <w:spacing w:after="0" w:line="93" w:lineRule="exact"/>
              <w:rPr>
                <w:sz w:val="20"/>
                <w:szCs w:val="20"/>
                <w:color w:val="auto"/>
              </w:rPr>
            </w:pPr>
            <w:r>
              <w:rPr>
                <w:rFonts w:ascii="Arial" w:cs="Arial" w:eastAsia="Arial" w:hAnsi="Arial"/>
                <w:sz w:val="10"/>
                <w:szCs w:val="10"/>
                <w:color w:val="auto"/>
              </w:rPr>
              <w:t>24,301</w:t>
            </w:r>
          </w:p>
        </w:tc>
        <w:tc>
          <w:tcPr>
            <w:tcW w:w="10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160" w:type="dxa"/>
            <w:vAlign w:val="bottom"/>
            <w:shd w:val="clear" w:color="auto" w:fill="DFE4EA"/>
          </w:tcPr>
          <w:p>
            <w:pPr>
              <w:spacing w:after="0"/>
              <w:rPr>
                <w:sz w:val="20"/>
                <w:szCs w:val="20"/>
                <w:color w:val="auto"/>
              </w:rPr>
            </w:pPr>
            <w:r>
              <w:rPr>
                <w:rFonts w:ascii="Arial" w:cs="Arial" w:eastAsia="Arial" w:hAnsi="Arial"/>
                <w:sz w:val="11"/>
                <w:szCs w:val="11"/>
                <w:color w:val="auto"/>
              </w:rPr>
              <w:t>Marshall S. Stanton</w:t>
            </w:r>
          </w:p>
        </w:tc>
        <w:tc>
          <w:tcPr>
            <w:tcW w:w="960" w:type="dxa"/>
            <w:vAlign w:val="bottom"/>
            <w:shd w:val="clear" w:color="auto" w:fill="DFE4EA"/>
          </w:tcPr>
          <w:p>
            <w:pPr>
              <w:spacing w:after="0"/>
              <w:rPr>
                <w:sz w:val="16"/>
                <w:szCs w:val="16"/>
                <w:color w:val="auto"/>
              </w:rPr>
            </w:pPr>
          </w:p>
        </w:tc>
        <w:tc>
          <w:tcPr>
            <w:tcW w:w="108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5"/>
              </w:rPr>
              <w:t>2,659</w:t>
            </w:r>
            <w:r>
              <w:rPr>
                <w:rFonts w:ascii="Arial" w:cs="Arial" w:eastAsia="Arial" w:hAnsi="Arial"/>
                <w:sz w:val="15"/>
                <w:szCs w:val="15"/>
                <w:color w:val="auto"/>
                <w:w w:val="95"/>
                <w:vertAlign w:val="superscript"/>
              </w:rPr>
              <w:t>(1)</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5"/>
              </w:rPr>
              <w:t>121,277</w:t>
            </w:r>
          </w:p>
        </w:tc>
        <w:tc>
          <w:tcPr>
            <w:tcW w:w="98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shd w:val="clear" w:color="auto" w:fill="DFE4EA"/>
          </w:tcPr>
          <w:p>
            <w:pPr>
              <w:spacing w:after="0"/>
              <w:rPr>
                <w:sz w:val="16"/>
                <w:szCs w:val="16"/>
                <w:color w:val="auto"/>
              </w:rPr>
            </w:pPr>
          </w:p>
        </w:tc>
        <w:tc>
          <w:tcPr>
            <w:tcW w:w="960" w:type="dxa"/>
            <w:vAlign w:val="bottom"/>
            <w:shd w:val="clear" w:color="auto" w:fill="DFE4EA"/>
          </w:tcPr>
          <w:p>
            <w:pPr>
              <w:spacing w:after="0"/>
              <w:rPr>
                <w:sz w:val="16"/>
                <w:szCs w:val="16"/>
                <w:color w:val="auto"/>
              </w:rPr>
            </w:pPr>
          </w:p>
        </w:tc>
        <w:tc>
          <w:tcPr>
            <w:tcW w:w="108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5"/>
              </w:rPr>
              <w:t>9,866</w:t>
            </w:r>
            <w:r>
              <w:rPr>
                <w:rFonts w:ascii="Arial" w:cs="Arial" w:eastAsia="Arial" w:hAnsi="Arial"/>
                <w:sz w:val="15"/>
                <w:szCs w:val="15"/>
                <w:color w:val="auto"/>
                <w:w w:val="95"/>
                <w:vertAlign w:val="superscript"/>
              </w:rPr>
              <w:t>(4)</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5"/>
              </w:rPr>
              <w:t>449,988</w:t>
            </w:r>
          </w:p>
        </w:tc>
        <w:tc>
          <w:tcPr>
            <w:tcW w:w="98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shd w:val="clear" w:color="auto" w:fill="DFE4EA"/>
          </w:tcPr>
          <w:p>
            <w:pPr>
              <w:spacing w:after="0"/>
              <w:rPr>
                <w:sz w:val="16"/>
                <w:szCs w:val="16"/>
                <w:color w:val="auto"/>
              </w:rPr>
            </w:pPr>
          </w:p>
        </w:tc>
        <w:tc>
          <w:tcPr>
            <w:tcW w:w="960" w:type="dxa"/>
            <w:vAlign w:val="bottom"/>
            <w:shd w:val="clear" w:color="auto" w:fill="DFE4EA"/>
          </w:tcPr>
          <w:p>
            <w:pPr>
              <w:spacing w:after="0"/>
              <w:rPr>
                <w:sz w:val="16"/>
                <w:szCs w:val="16"/>
                <w:color w:val="auto"/>
              </w:rPr>
            </w:pPr>
          </w:p>
        </w:tc>
        <w:tc>
          <w:tcPr>
            <w:tcW w:w="108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92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1"/>
              </w:rPr>
              <w:t>12,826</w:t>
            </w:r>
            <w:r>
              <w:rPr>
                <w:rFonts w:ascii="Arial" w:cs="Arial" w:eastAsia="Arial" w:hAnsi="Arial"/>
                <w:sz w:val="15"/>
                <w:szCs w:val="15"/>
                <w:color w:val="auto"/>
                <w:w w:val="91"/>
                <w:vertAlign w:val="superscript"/>
              </w:rPr>
              <w:t>(5)</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5"/>
              </w:rPr>
              <w:t>584,994</w:t>
            </w:r>
          </w:p>
        </w:tc>
        <w:tc>
          <w:tcPr>
            <w:tcW w:w="980" w:type="dxa"/>
            <w:vAlign w:val="bottom"/>
            <w:shd w:val="clear" w:color="auto" w:fill="DFE4EA"/>
          </w:tcPr>
          <w:p>
            <w:pPr>
              <w:spacing w:after="0"/>
              <w:rPr>
                <w:sz w:val="16"/>
                <w:szCs w:val="16"/>
                <w:color w:val="auto"/>
              </w:rPr>
            </w:pPr>
          </w:p>
        </w:tc>
        <w:tc>
          <w:tcPr>
            <w:tcW w:w="1000" w:type="dxa"/>
            <w:vAlign w:val="bottom"/>
            <w:shd w:val="clear" w:color="auto" w:fill="DFE4EA"/>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shd w:val="clear" w:color="auto" w:fill="DFE4EA"/>
          </w:tcPr>
          <w:p>
            <w:pPr>
              <w:spacing w:after="0"/>
              <w:rPr>
                <w:sz w:val="12"/>
                <w:szCs w:val="12"/>
                <w:color w:val="auto"/>
              </w:rPr>
            </w:pPr>
          </w:p>
        </w:tc>
        <w:tc>
          <w:tcPr>
            <w:tcW w:w="960" w:type="dxa"/>
            <w:vAlign w:val="bottom"/>
            <w:shd w:val="clear" w:color="auto" w:fill="DFE4EA"/>
          </w:tcPr>
          <w:p>
            <w:pPr>
              <w:spacing w:after="0"/>
              <w:rPr>
                <w:sz w:val="12"/>
                <w:szCs w:val="12"/>
                <w:color w:val="auto"/>
              </w:rPr>
            </w:pPr>
          </w:p>
        </w:tc>
        <w:tc>
          <w:tcPr>
            <w:tcW w:w="1080" w:type="dxa"/>
            <w:vAlign w:val="bottom"/>
            <w:shd w:val="clear" w:color="auto" w:fill="DFE4EA"/>
          </w:tcPr>
          <w:p>
            <w:pPr>
              <w:spacing w:after="0"/>
              <w:rPr>
                <w:sz w:val="12"/>
                <w:szCs w:val="12"/>
                <w:color w:val="auto"/>
              </w:rPr>
            </w:pPr>
          </w:p>
        </w:tc>
        <w:tc>
          <w:tcPr>
            <w:tcW w:w="920" w:type="dxa"/>
            <w:vAlign w:val="bottom"/>
            <w:shd w:val="clear" w:color="auto" w:fill="DFE4EA"/>
          </w:tcPr>
          <w:p>
            <w:pPr>
              <w:spacing w:after="0"/>
              <w:rPr>
                <w:sz w:val="12"/>
                <w:szCs w:val="12"/>
                <w:color w:val="auto"/>
              </w:rPr>
            </w:pPr>
          </w:p>
        </w:tc>
        <w:tc>
          <w:tcPr>
            <w:tcW w:w="920" w:type="dxa"/>
            <w:vAlign w:val="bottom"/>
            <w:shd w:val="clear" w:color="auto" w:fill="DFE4EA"/>
          </w:tcPr>
          <w:p>
            <w:pPr>
              <w:spacing w:after="0"/>
              <w:rPr>
                <w:sz w:val="12"/>
                <w:szCs w:val="12"/>
                <w:color w:val="auto"/>
              </w:rPr>
            </w:pPr>
          </w:p>
        </w:tc>
        <w:tc>
          <w:tcPr>
            <w:tcW w:w="1000" w:type="dxa"/>
            <w:vAlign w:val="bottom"/>
            <w:shd w:val="clear" w:color="auto" w:fill="DFE4EA"/>
          </w:tcPr>
          <w:p>
            <w:pPr>
              <w:spacing w:after="0"/>
              <w:rPr>
                <w:sz w:val="12"/>
                <w:szCs w:val="12"/>
                <w:color w:val="auto"/>
              </w:rPr>
            </w:pPr>
          </w:p>
        </w:tc>
        <w:tc>
          <w:tcPr>
            <w:tcW w:w="1000" w:type="dxa"/>
            <w:vAlign w:val="bottom"/>
            <w:shd w:val="clear" w:color="auto" w:fill="DFE4EA"/>
          </w:tcPr>
          <w:p>
            <w:pPr>
              <w:jc w:val="center"/>
              <w:spacing w:after="0" w:line="139" w:lineRule="exact"/>
              <w:rPr>
                <w:sz w:val="20"/>
                <w:szCs w:val="20"/>
                <w:color w:val="auto"/>
              </w:rPr>
            </w:pPr>
            <w:r>
              <w:rPr>
                <w:rFonts w:ascii="Arial" w:cs="Arial" w:eastAsia="Arial" w:hAnsi="Arial"/>
                <w:sz w:val="11"/>
                <w:szCs w:val="11"/>
                <w:color w:val="auto"/>
                <w:w w:val="91"/>
              </w:rPr>
              <w:t>21,838</w:t>
            </w:r>
            <w:r>
              <w:rPr>
                <w:rFonts w:ascii="Arial" w:cs="Arial" w:eastAsia="Arial" w:hAnsi="Arial"/>
                <w:sz w:val="15"/>
                <w:szCs w:val="15"/>
                <w:color w:val="auto"/>
                <w:w w:val="91"/>
                <w:vertAlign w:val="superscript"/>
              </w:rPr>
              <w:t>(7)</w:t>
            </w:r>
          </w:p>
        </w:tc>
        <w:tc>
          <w:tcPr>
            <w:tcW w:w="1000" w:type="dxa"/>
            <w:vAlign w:val="bottom"/>
            <w:shd w:val="clear" w:color="auto" w:fill="DFE4EA"/>
          </w:tcPr>
          <w:p>
            <w:pPr>
              <w:jc w:val="center"/>
              <w:spacing w:after="0"/>
              <w:rPr>
                <w:sz w:val="20"/>
                <w:szCs w:val="20"/>
                <w:color w:val="auto"/>
              </w:rPr>
            </w:pPr>
            <w:r>
              <w:rPr>
                <w:rFonts w:ascii="Arial" w:cs="Arial" w:eastAsia="Arial" w:hAnsi="Arial"/>
                <w:sz w:val="11"/>
                <w:szCs w:val="11"/>
                <w:color w:val="auto"/>
                <w:w w:val="95"/>
              </w:rPr>
              <w:t>996,031</w:t>
            </w:r>
          </w:p>
        </w:tc>
        <w:tc>
          <w:tcPr>
            <w:tcW w:w="980" w:type="dxa"/>
            <w:vAlign w:val="bottom"/>
            <w:shd w:val="clear" w:color="auto" w:fill="DFE4EA"/>
          </w:tcPr>
          <w:p>
            <w:pPr>
              <w:spacing w:after="0"/>
              <w:rPr>
                <w:sz w:val="12"/>
                <w:szCs w:val="12"/>
                <w:color w:val="auto"/>
              </w:rPr>
            </w:pPr>
          </w:p>
        </w:tc>
        <w:tc>
          <w:tcPr>
            <w:tcW w:w="1000" w:type="dxa"/>
            <w:vAlign w:val="bottom"/>
            <w:shd w:val="clear" w:color="auto" w:fill="DFE4EA"/>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160" w:type="dxa"/>
            <w:vAlign w:val="bottom"/>
            <w:shd w:val="clear" w:color="auto" w:fill="DFE4EA"/>
          </w:tcPr>
          <w:p>
            <w:pPr>
              <w:spacing w:after="0"/>
              <w:rPr>
                <w:sz w:val="8"/>
                <w:szCs w:val="8"/>
                <w:color w:val="auto"/>
              </w:rPr>
            </w:pPr>
          </w:p>
        </w:tc>
        <w:tc>
          <w:tcPr>
            <w:tcW w:w="960" w:type="dxa"/>
            <w:vAlign w:val="bottom"/>
            <w:shd w:val="clear" w:color="auto" w:fill="DFE4EA"/>
          </w:tcPr>
          <w:p>
            <w:pPr>
              <w:spacing w:after="0"/>
              <w:rPr>
                <w:sz w:val="8"/>
                <w:szCs w:val="8"/>
                <w:color w:val="auto"/>
              </w:rPr>
            </w:pPr>
          </w:p>
        </w:tc>
        <w:tc>
          <w:tcPr>
            <w:tcW w:w="108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1000" w:type="dxa"/>
            <w:vAlign w:val="bottom"/>
            <w:shd w:val="clear" w:color="auto" w:fill="DFE4EA"/>
          </w:tcPr>
          <w:p>
            <w:pPr>
              <w:jc w:val="right"/>
              <w:ind w:right="249"/>
              <w:spacing w:after="0"/>
              <w:rPr>
                <w:sz w:val="20"/>
                <w:szCs w:val="20"/>
                <w:color w:val="auto"/>
              </w:rPr>
            </w:pPr>
            <w:r>
              <w:rPr>
                <w:rFonts w:ascii="Arial" w:cs="Arial" w:eastAsia="Arial" w:hAnsi="Arial"/>
                <w:sz w:val="8"/>
                <w:szCs w:val="8"/>
                <w:color w:val="auto"/>
              </w:rPr>
              <w:t>(6)</w:t>
            </w:r>
          </w:p>
        </w:tc>
        <w:tc>
          <w:tcPr>
            <w:tcW w:w="1000" w:type="dxa"/>
            <w:vAlign w:val="bottom"/>
            <w:shd w:val="clear" w:color="auto" w:fill="DFE4EA"/>
          </w:tcPr>
          <w:p>
            <w:pPr>
              <w:jc w:val="center"/>
              <w:spacing w:after="0" w:line="93" w:lineRule="exact"/>
              <w:rPr>
                <w:sz w:val="20"/>
                <w:szCs w:val="20"/>
                <w:color w:val="auto"/>
              </w:rPr>
            </w:pPr>
            <w:r>
              <w:rPr>
                <w:rFonts w:ascii="Arial" w:cs="Arial" w:eastAsia="Arial" w:hAnsi="Arial"/>
                <w:sz w:val="10"/>
                <w:szCs w:val="10"/>
                <w:color w:val="auto"/>
              </w:rPr>
              <w:t>839,133</w:t>
            </w:r>
          </w:p>
        </w:tc>
        <w:tc>
          <w:tcPr>
            <w:tcW w:w="98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shd w:val="clear" w:color="auto" w:fill="DFE4EA"/>
          </w:tcPr>
          <w:p>
            <w:pPr>
              <w:spacing w:after="0"/>
              <w:rPr>
                <w:sz w:val="8"/>
                <w:szCs w:val="8"/>
                <w:color w:val="auto"/>
              </w:rPr>
            </w:pPr>
          </w:p>
        </w:tc>
        <w:tc>
          <w:tcPr>
            <w:tcW w:w="960" w:type="dxa"/>
            <w:vAlign w:val="bottom"/>
            <w:shd w:val="clear" w:color="auto" w:fill="DFE4EA"/>
          </w:tcPr>
          <w:p>
            <w:pPr>
              <w:spacing w:after="0"/>
              <w:rPr>
                <w:sz w:val="8"/>
                <w:szCs w:val="8"/>
                <w:color w:val="auto"/>
              </w:rPr>
            </w:pPr>
          </w:p>
        </w:tc>
        <w:tc>
          <w:tcPr>
            <w:tcW w:w="108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92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1000" w:type="dxa"/>
            <w:vAlign w:val="bottom"/>
            <w:shd w:val="clear" w:color="auto" w:fill="DFE4EA"/>
          </w:tcPr>
          <w:p>
            <w:pPr>
              <w:jc w:val="right"/>
              <w:ind w:right="349"/>
              <w:spacing w:after="0" w:line="93" w:lineRule="exact"/>
              <w:rPr>
                <w:sz w:val="20"/>
                <w:szCs w:val="20"/>
                <w:color w:val="auto"/>
              </w:rPr>
            </w:pPr>
            <w:r>
              <w:rPr>
                <w:rFonts w:ascii="Arial" w:cs="Arial" w:eastAsia="Arial" w:hAnsi="Arial"/>
                <w:sz w:val="10"/>
                <w:szCs w:val="10"/>
                <w:color w:val="auto"/>
              </w:rPr>
              <w:t>18,398</w:t>
            </w:r>
          </w:p>
        </w:tc>
        <w:tc>
          <w:tcPr>
            <w:tcW w:w="1000" w:type="dxa"/>
            <w:vAlign w:val="bottom"/>
            <w:shd w:val="clear" w:color="auto" w:fill="DFE4EA"/>
          </w:tcPr>
          <w:p>
            <w:pPr>
              <w:spacing w:after="0"/>
              <w:rPr>
                <w:sz w:val="8"/>
                <w:szCs w:val="8"/>
                <w:color w:val="auto"/>
              </w:rPr>
            </w:pPr>
          </w:p>
        </w:tc>
        <w:tc>
          <w:tcPr>
            <w:tcW w:w="980" w:type="dxa"/>
            <w:vAlign w:val="bottom"/>
            <w:shd w:val="clear" w:color="auto" w:fill="DFE4EA"/>
          </w:tcPr>
          <w:p>
            <w:pPr>
              <w:spacing w:after="0"/>
              <w:rPr>
                <w:sz w:val="8"/>
                <w:szCs w:val="8"/>
                <w:color w:val="auto"/>
              </w:rPr>
            </w:pPr>
          </w:p>
        </w:tc>
        <w:tc>
          <w:tcPr>
            <w:tcW w:w="1000" w:type="dxa"/>
            <w:vAlign w:val="bottom"/>
            <w:shd w:val="clear" w:color="auto" w:fill="DFE4EA"/>
          </w:tcPr>
          <w:p>
            <w:pPr>
              <w:spacing w:after="0"/>
              <w:rPr>
                <w:sz w:val="8"/>
                <w:szCs w:val="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20" w:hanging="219"/>
        <w:spacing w:after="0" w:line="276" w:lineRule="auto"/>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All values in this table are based on the closing price of the Company’s common stock on the NYSE on December 31, 2025 (the last trading day of 2025) of $45.61.</w:t>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47"/>
        </w:trPr>
        <w:tc>
          <w:tcPr>
            <w:tcW w:w="2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ind w:left="700"/>
              <w:spacing w:after="0"/>
              <w:rPr>
                <w:sz w:val="20"/>
                <w:szCs w:val="20"/>
                <w:color w:val="auto"/>
              </w:rPr>
            </w:pPr>
            <w:r>
              <w:rPr>
                <w:rFonts w:ascii="Arial" w:cs="Arial" w:eastAsia="Arial" w:hAnsi="Arial"/>
                <w:sz w:val="12"/>
                <w:szCs w:val="12"/>
                <w:b w:val="1"/>
                <w:bCs w:val="1"/>
                <w:color w:val="auto"/>
              </w:rPr>
              <w:t>Type of Grant</w:t>
            </w: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Grant Date</w:t>
            </w:r>
          </w:p>
        </w:tc>
        <w:tc>
          <w:tcPr>
            <w:tcW w:w="2020" w:type="dxa"/>
            <w:vAlign w:val="bottom"/>
            <w:tcBorders>
              <w:bottom w:val="single" w:sz="8" w:color="auto"/>
            </w:tcBorders>
          </w:tcPr>
          <w:p>
            <w:pPr>
              <w:ind w:left="680"/>
              <w:spacing w:after="0"/>
              <w:rPr>
                <w:sz w:val="20"/>
                <w:szCs w:val="20"/>
                <w:color w:val="auto"/>
              </w:rPr>
            </w:pPr>
            <w:r>
              <w:rPr>
                <w:rFonts w:ascii="Arial" w:cs="Arial" w:eastAsia="Arial" w:hAnsi="Arial"/>
                <w:sz w:val="12"/>
                <w:szCs w:val="12"/>
                <w:b w:val="1"/>
                <w:bCs w:val="1"/>
                <w:color w:val="auto"/>
              </w:rPr>
              <w:t>Vesting Rate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Vesting Dates</w:t>
            </w:r>
          </w:p>
        </w:tc>
        <w:tc>
          <w:tcPr>
            <w:tcW w:w="3840" w:type="dxa"/>
            <w:vAlign w:val="bottom"/>
            <w:tcBorders>
              <w:bottom w:val="single" w:sz="8" w:color="auto"/>
            </w:tcBorders>
          </w:tcPr>
          <w:p>
            <w:pPr>
              <w:ind w:left="1620"/>
              <w:spacing w:after="0"/>
              <w:rPr>
                <w:sz w:val="20"/>
                <w:szCs w:val="20"/>
                <w:color w:val="auto"/>
              </w:rPr>
            </w:pPr>
            <w:r>
              <w:rPr>
                <w:rFonts w:ascii="Arial" w:cs="Arial" w:eastAsia="Arial" w:hAnsi="Arial"/>
                <w:sz w:val="12"/>
                <w:szCs w:val="12"/>
                <w:b w:val="1"/>
                <w:bCs w:val="1"/>
                <w:color w:val="auto"/>
              </w:rPr>
              <w:t>Conditions</w:t>
            </w:r>
          </w:p>
        </w:tc>
        <w:tc>
          <w:tcPr>
            <w:tcW w:w="0" w:type="dxa"/>
            <w:vAlign w:val="bottom"/>
          </w:tcPr>
          <w:p>
            <w:pPr>
              <w:spacing w:after="0"/>
              <w:rPr>
                <w:sz w:val="1"/>
                <w:szCs w:val="1"/>
                <w:color w:val="auto"/>
              </w:rPr>
            </w:pPr>
          </w:p>
        </w:tc>
      </w:tr>
      <w:tr>
        <w:trPr>
          <w:trHeight w:val="169"/>
        </w:trPr>
        <w:tc>
          <w:tcPr>
            <w:tcW w:w="280" w:type="dxa"/>
            <w:vAlign w:val="bottom"/>
          </w:tcPr>
          <w:p>
            <w:pPr>
              <w:jc w:val="right"/>
              <w:ind w:right="74"/>
              <w:spacing w:after="0"/>
              <w:rPr>
                <w:sz w:val="20"/>
                <w:szCs w:val="20"/>
                <w:color w:val="auto"/>
              </w:rPr>
            </w:pPr>
            <w:r>
              <w:rPr>
                <w:rFonts w:ascii="Arial" w:cs="Arial" w:eastAsia="Arial" w:hAnsi="Arial"/>
                <w:sz w:val="9"/>
                <w:szCs w:val="9"/>
                <w:color w:val="auto"/>
              </w:rPr>
              <w:t>(1)</w:t>
            </w:r>
          </w:p>
        </w:tc>
        <w:tc>
          <w:tcPr>
            <w:tcW w:w="1860" w:type="dxa"/>
            <w:vAlign w:val="bottom"/>
          </w:tcPr>
          <w:p>
            <w:pPr>
              <w:ind w:left="140"/>
              <w:spacing w:after="0"/>
              <w:rPr>
                <w:sz w:val="20"/>
                <w:szCs w:val="20"/>
                <w:color w:val="auto"/>
              </w:rPr>
            </w:pPr>
            <w:r>
              <w:rPr>
                <w:rFonts w:ascii="Arial" w:cs="Arial" w:eastAsia="Arial" w:hAnsi="Arial"/>
                <w:sz w:val="12"/>
                <w:szCs w:val="12"/>
                <w:color w:val="auto"/>
              </w:rPr>
              <w:t>Performance stock units</w:t>
            </w:r>
          </w:p>
        </w:tc>
        <w:tc>
          <w:tcPr>
            <w:tcW w:w="3080" w:type="dxa"/>
            <w:vAlign w:val="bottom"/>
            <w:gridSpan w:val="2"/>
          </w:tcPr>
          <w:p>
            <w:pPr>
              <w:ind w:left="400"/>
              <w:spacing w:after="0"/>
              <w:rPr>
                <w:sz w:val="20"/>
                <w:szCs w:val="20"/>
                <w:color w:val="auto"/>
              </w:rPr>
            </w:pPr>
            <w:r>
              <w:rPr>
                <w:rFonts w:ascii="Arial" w:cs="Arial" w:eastAsia="Arial" w:hAnsi="Arial"/>
                <w:sz w:val="12"/>
                <w:szCs w:val="12"/>
                <w:color w:val="auto"/>
              </w:rPr>
              <w:t>2/22/2023   50% on first anniversary of grant</w:t>
            </w:r>
          </w:p>
        </w:tc>
        <w:tc>
          <w:tcPr>
            <w:tcW w:w="960" w:type="dxa"/>
            <w:vAlign w:val="bottom"/>
          </w:tcPr>
          <w:p>
            <w:pPr>
              <w:jc w:val="center"/>
              <w:spacing w:after="0"/>
              <w:rPr>
                <w:sz w:val="20"/>
                <w:szCs w:val="20"/>
                <w:color w:val="auto"/>
              </w:rPr>
            </w:pPr>
            <w:r>
              <w:rPr>
                <w:rFonts w:ascii="Arial" w:cs="Arial" w:eastAsia="Arial" w:hAnsi="Arial"/>
                <w:sz w:val="12"/>
                <w:szCs w:val="12"/>
                <w:color w:val="auto"/>
              </w:rPr>
              <w:t>2/23/2024</w:t>
            </w:r>
          </w:p>
        </w:tc>
        <w:tc>
          <w:tcPr>
            <w:tcW w:w="3840" w:type="dxa"/>
            <w:vAlign w:val="bottom"/>
          </w:tcPr>
          <w:p>
            <w:pPr>
              <w:ind w:left="40"/>
              <w:spacing w:after="0"/>
              <w:rPr>
                <w:sz w:val="20"/>
                <w:szCs w:val="20"/>
                <w:color w:val="auto"/>
              </w:rPr>
            </w:pPr>
            <w:r>
              <w:rPr>
                <w:rFonts w:ascii="Arial" w:cs="Arial" w:eastAsia="Arial" w:hAnsi="Arial"/>
                <w:sz w:val="12"/>
                <w:szCs w:val="12"/>
                <w:color w:val="auto"/>
              </w:rPr>
              <w:t>Number of shares based on certification of performance metrics for</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20" w:type="dxa"/>
            <w:vAlign w:val="bottom"/>
          </w:tcPr>
          <w:p>
            <w:pPr>
              <w:ind w:left="80"/>
              <w:spacing w:after="0"/>
              <w:rPr>
                <w:sz w:val="20"/>
                <w:szCs w:val="20"/>
                <w:color w:val="auto"/>
              </w:rPr>
            </w:pPr>
            <w:r>
              <w:rPr>
                <w:rFonts w:ascii="Arial" w:cs="Arial" w:eastAsia="Arial" w:hAnsi="Arial"/>
                <w:sz w:val="12"/>
                <w:szCs w:val="12"/>
                <w:color w:val="auto"/>
              </w:rPr>
              <w:t>date, following certification of</w:t>
            </w: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rPr>
              <w:t>2/22/2025</w:t>
            </w:r>
          </w:p>
        </w:tc>
        <w:tc>
          <w:tcPr>
            <w:tcW w:w="3840" w:type="dxa"/>
            <w:vAlign w:val="bottom"/>
          </w:tcPr>
          <w:p>
            <w:pPr>
              <w:ind w:left="40"/>
              <w:spacing w:after="0"/>
              <w:rPr>
                <w:sz w:val="20"/>
                <w:szCs w:val="20"/>
                <w:color w:val="auto"/>
              </w:rPr>
            </w:pPr>
            <w:r>
              <w:rPr>
                <w:rFonts w:ascii="Arial" w:cs="Arial" w:eastAsia="Arial" w:hAnsi="Arial"/>
                <w:sz w:val="12"/>
                <w:szCs w:val="12"/>
                <w:color w:val="auto"/>
              </w:rPr>
              <w:t>fiscal 2023, which the Compensation Committee determined in</w:t>
            </w:r>
          </w:p>
        </w:tc>
        <w:tc>
          <w:tcPr>
            <w:tcW w:w="0" w:type="dxa"/>
            <w:vAlign w:val="bottom"/>
          </w:tcPr>
          <w:p>
            <w:pPr>
              <w:spacing w:after="0"/>
              <w:rPr>
                <w:sz w:val="1"/>
                <w:szCs w:val="1"/>
                <w:color w:val="auto"/>
              </w:rPr>
            </w:pPr>
          </w:p>
        </w:tc>
      </w:tr>
      <w:tr>
        <w:trPr>
          <w:trHeight w:val="83"/>
        </w:trPr>
        <w:tc>
          <w:tcPr>
            <w:tcW w:w="2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20" w:type="dxa"/>
            <w:vAlign w:val="bottom"/>
            <w:vMerge w:val="restart"/>
          </w:tcPr>
          <w:p>
            <w:pPr>
              <w:ind w:left="80"/>
              <w:spacing w:after="0"/>
              <w:rPr>
                <w:sz w:val="20"/>
                <w:szCs w:val="20"/>
                <w:color w:val="auto"/>
              </w:rPr>
            </w:pPr>
            <w:r>
              <w:rPr>
                <w:rFonts w:ascii="Arial" w:cs="Arial" w:eastAsia="Arial" w:hAnsi="Arial"/>
                <w:sz w:val="12"/>
                <w:szCs w:val="12"/>
                <w:color w:val="auto"/>
              </w:rPr>
              <w:t>financial performance; 25% on</w:t>
            </w:r>
          </w:p>
        </w:tc>
        <w:tc>
          <w:tcPr>
            <w:tcW w:w="960" w:type="dxa"/>
            <w:vAlign w:val="bottom"/>
            <w:vMerge w:val="continue"/>
          </w:tcPr>
          <w:p>
            <w:pPr>
              <w:spacing w:after="0"/>
              <w:rPr>
                <w:sz w:val="7"/>
                <w:szCs w:val="7"/>
                <w:color w:val="auto"/>
              </w:rPr>
            </w:pPr>
          </w:p>
        </w:tc>
        <w:tc>
          <w:tcPr>
            <w:tcW w:w="3840" w:type="dxa"/>
            <w:vAlign w:val="bottom"/>
            <w:vMerge w:val="restart"/>
          </w:tcPr>
          <w:p>
            <w:pPr>
              <w:ind w:left="40"/>
              <w:spacing w:after="0"/>
              <w:rPr>
                <w:sz w:val="20"/>
                <w:szCs w:val="20"/>
                <w:color w:val="auto"/>
              </w:rPr>
            </w:pPr>
            <w:r>
              <w:rPr>
                <w:rFonts w:ascii="Arial" w:cs="Arial" w:eastAsia="Arial" w:hAnsi="Arial"/>
                <w:sz w:val="12"/>
                <w:szCs w:val="12"/>
                <w:color w:val="auto"/>
              </w:rPr>
              <w:t>February 2024 (as described further above within the Compensation</w:t>
            </w: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rPr>
              <w:t>2/22/2026</w:t>
            </w:r>
          </w:p>
        </w:tc>
        <w:tc>
          <w:tcPr>
            <w:tcW w:w="3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20" w:type="dxa"/>
            <w:vAlign w:val="bottom"/>
          </w:tcPr>
          <w:p>
            <w:pPr>
              <w:ind w:left="80"/>
              <w:spacing w:after="0"/>
              <w:rPr>
                <w:sz w:val="20"/>
                <w:szCs w:val="20"/>
                <w:color w:val="auto"/>
              </w:rPr>
            </w:pPr>
            <w:r>
              <w:rPr>
                <w:rFonts w:ascii="Arial" w:cs="Arial" w:eastAsia="Arial" w:hAnsi="Arial"/>
                <w:sz w:val="12"/>
                <w:szCs w:val="12"/>
                <w:color w:val="auto"/>
              </w:rPr>
              <w:t>second anniversary of grant date;</w:t>
            </w:r>
          </w:p>
        </w:tc>
        <w:tc>
          <w:tcPr>
            <w:tcW w:w="960" w:type="dxa"/>
            <w:vAlign w:val="bottom"/>
            <w:vMerge w:val="continue"/>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rPr>
              <w:t>Discussion and Analysis). Number of shares shown reflects the total</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20" w:type="dxa"/>
            <w:vAlign w:val="bottom"/>
          </w:tcPr>
          <w:p>
            <w:pPr>
              <w:ind w:left="80"/>
              <w:spacing w:after="0"/>
              <w:rPr>
                <w:sz w:val="20"/>
                <w:szCs w:val="20"/>
                <w:color w:val="auto"/>
              </w:rPr>
            </w:pPr>
            <w:r>
              <w:rPr>
                <w:rFonts w:ascii="Arial" w:cs="Arial" w:eastAsia="Arial" w:hAnsi="Arial"/>
                <w:sz w:val="12"/>
                <w:szCs w:val="12"/>
                <w:color w:val="auto"/>
              </w:rPr>
              <w:t>25% on third anniversary of grant</w:t>
            </w:r>
          </w:p>
        </w:tc>
        <w:tc>
          <w:tcPr>
            <w:tcW w:w="96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rPr>
              <w:t>number of shares awarded (148.6% of target) pursuant to the</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20" w:type="dxa"/>
            <w:vAlign w:val="bottom"/>
          </w:tcPr>
          <w:p>
            <w:pPr>
              <w:ind w:left="80"/>
              <w:spacing w:after="0"/>
              <w:rPr>
                <w:sz w:val="20"/>
                <w:szCs w:val="20"/>
                <w:color w:val="auto"/>
              </w:rPr>
            </w:pPr>
            <w:r>
              <w:rPr>
                <w:rFonts w:ascii="Arial" w:cs="Arial" w:eastAsia="Arial" w:hAnsi="Arial"/>
                <w:sz w:val="12"/>
                <w:szCs w:val="12"/>
                <w:color w:val="auto"/>
              </w:rPr>
              <w:t>date</w:t>
            </w:r>
          </w:p>
        </w:tc>
        <w:tc>
          <w:tcPr>
            <w:tcW w:w="96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rPr>
              <w:t>performance metric, as none of the shares had time-vested as of</w:t>
            </w: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rPr>
              <w:t>12/31/2023. The first tranche of earned shares vested on 2/23/2024.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-643255</wp:posOffset>
            </wp:positionV>
            <wp:extent cx="6363335" cy="773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63335" cy="773430"/>
                    </a:xfrm>
                    <a:prstGeom prst="rect">
                      <a:avLst/>
                    </a:prstGeom>
                    <a:noFill/>
                  </pic:spPr>
                </pic:pic>
              </a:graphicData>
            </a:graphic>
          </wp:anchor>
        </w:drawing>
      </w:r>
    </w:p>
    <w:p>
      <w:pPr>
        <w:spacing w:after="0" w:line="13"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Continued employment through vesting date required.</w:t>
      </w:r>
    </w:p>
    <w:p>
      <w:pPr>
        <w:sectPr>
          <w:pgSz w:w="11900" w:h="16838" w:orient="portrait"/>
          <w:cols w:equalWidth="0" w:num="1">
            <w:col w:w="10020"/>
          </w:cols>
          <w:pgMar w:left="980" w:top="967" w:right="899" w:bottom="1440" w:gutter="0" w:footer="0" w:header="0"/>
        </w:sectPr>
      </w:pPr>
    </w:p>
    <w:p>
      <w:pPr>
        <w:spacing w:after="0" w:line="48" w:lineRule="exact"/>
        <w:rPr>
          <w:sz w:val="20"/>
          <w:szCs w:val="20"/>
          <w:color w:val="auto"/>
        </w:rPr>
      </w:pPr>
    </w:p>
    <w:p>
      <w:pPr>
        <w:ind w:left="420" w:hanging="373"/>
        <w:spacing w:after="0" w:line="204" w:lineRule="auto"/>
        <w:tabs>
          <w:tab w:leader="none" w:pos="420" w:val="left"/>
        </w:tabs>
        <w:numPr>
          <w:ilvl w:val="0"/>
          <w:numId w:val="46"/>
        </w:numPr>
        <w:rPr>
          <w:rFonts w:ascii="Arial" w:cs="Arial" w:eastAsia="Arial" w:hAnsi="Arial"/>
          <w:sz w:val="19"/>
          <w:szCs w:val="19"/>
          <w:color w:val="auto"/>
          <w:vertAlign w:val="superscript"/>
        </w:rPr>
      </w:pPr>
      <w:r>
        <w:rPr>
          <w:rFonts w:ascii="Arial" w:cs="Arial" w:eastAsia="Arial" w:hAnsi="Arial"/>
          <w:sz w:val="12"/>
          <w:szCs w:val="12"/>
          <w:color w:val="auto"/>
        </w:rPr>
        <w:t>Service-based stock options (new-hire grant)</w:t>
      </w:r>
    </w:p>
    <w:p>
      <w:pPr>
        <w:spacing w:after="0" w:line="288" w:lineRule="exact"/>
        <w:rPr>
          <w:rFonts w:ascii="Arial" w:cs="Arial" w:eastAsia="Arial" w:hAnsi="Arial"/>
          <w:sz w:val="19"/>
          <w:szCs w:val="19"/>
          <w:color w:val="auto"/>
          <w:vertAlign w:val="superscript"/>
        </w:rPr>
      </w:pPr>
    </w:p>
    <w:p>
      <w:pPr>
        <w:ind w:left="420" w:right="220" w:hanging="373"/>
        <w:spacing w:after="0" w:line="204" w:lineRule="auto"/>
        <w:tabs>
          <w:tab w:leader="none" w:pos="420" w:val="left"/>
        </w:tabs>
        <w:numPr>
          <w:ilvl w:val="0"/>
          <w:numId w:val="46"/>
        </w:numPr>
        <w:rPr>
          <w:rFonts w:ascii="Arial" w:cs="Arial" w:eastAsia="Arial" w:hAnsi="Arial"/>
          <w:sz w:val="19"/>
          <w:szCs w:val="19"/>
          <w:color w:val="auto"/>
          <w:vertAlign w:val="superscript"/>
        </w:rPr>
      </w:pPr>
      <w:r>
        <w:rPr>
          <w:rFonts w:ascii="Arial" w:cs="Arial" w:eastAsia="Arial" w:hAnsi="Arial"/>
          <w:sz w:val="12"/>
          <w:szCs w:val="12"/>
          <w:color w:val="auto"/>
        </w:rPr>
        <w:t>Service-based restricted stock (new-hire grant)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720" w:val="left"/>
        </w:tabs>
        <w:rPr>
          <w:sz w:val="20"/>
          <w:szCs w:val="20"/>
          <w:color w:val="auto"/>
        </w:rPr>
      </w:pPr>
      <w:r>
        <w:rPr>
          <w:rFonts w:ascii="Arial" w:cs="Arial" w:eastAsia="Arial" w:hAnsi="Arial"/>
          <w:sz w:val="12"/>
          <w:szCs w:val="12"/>
          <w:color w:val="auto"/>
        </w:rPr>
        <w:t>12/6/2023</w:t>
        <w:tab/>
        <w:t>331/3% per year</w:t>
      </w:r>
    </w:p>
    <w:p>
      <w:pPr>
        <w:spacing w:after="0" w:line="200" w:lineRule="exact"/>
        <w:rPr>
          <w:sz w:val="20"/>
          <w:szCs w:val="20"/>
          <w:color w:val="auto"/>
        </w:rPr>
      </w:pPr>
    </w:p>
    <w:p>
      <w:pPr>
        <w:spacing w:after="0" w:line="254" w:lineRule="exact"/>
        <w:rPr>
          <w:sz w:val="20"/>
          <w:szCs w:val="20"/>
          <w:color w:val="auto"/>
        </w:rPr>
      </w:pPr>
    </w:p>
    <w:p>
      <w:pPr>
        <w:spacing w:after="0"/>
        <w:tabs>
          <w:tab w:leader="none" w:pos="720" w:val="left"/>
        </w:tabs>
        <w:rPr>
          <w:sz w:val="20"/>
          <w:szCs w:val="20"/>
          <w:color w:val="auto"/>
        </w:rPr>
      </w:pPr>
      <w:r>
        <w:rPr>
          <w:rFonts w:ascii="Arial" w:cs="Arial" w:eastAsia="Arial" w:hAnsi="Arial"/>
          <w:sz w:val="12"/>
          <w:szCs w:val="12"/>
          <w:color w:val="auto"/>
        </w:rPr>
        <w:t>12/6/2023</w:t>
        <w:tab/>
        <w:t>100% cliff vesting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color w:val="auto"/>
        </w:rPr>
        <w:t>12/6/2024</w:t>
      </w:r>
      <w:r>
        <w:rPr>
          <w:sz w:val="20"/>
          <w:szCs w:val="20"/>
          <w:color w:val="auto"/>
        </w:rPr>
        <w:tab/>
      </w:r>
      <w:r>
        <w:rPr>
          <w:rFonts w:ascii="Arial" w:cs="Arial" w:eastAsia="Arial" w:hAnsi="Arial"/>
          <w:sz w:val="12"/>
          <w:szCs w:val="12"/>
          <w:color w:val="auto"/>
        </w:rPr>
        <w:t>Continued employment through vesting date required.</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12/6/2025</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12/6/2026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-3449955</wp:posOffset>
            </wp:positionH>
            <wp:positionV relativeFrom="paragraph">
              <wp:posOffset>20320</wp:posOffset>
            </wp:positionV>
            <wp:extent cx="6363335" cy="2063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63335" cy="206375"/>
                    </a:xfrm>
                    <a:prstGeom prst="rect">
                      <a:avLst/>
                    </a:prstGeom>
                    <a:noFill/>
                  </pic:spPr>
                </pic:pic>
              </a:graphicData>
            </a:graphic>
          </wp:anchor>
        </w:drawing>
      </w:r>
    </w:p>
    <w:p>
      <w:pPr>
        <w:spacing w:after="0" w:line="28"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color w:val="auto"/>
        </w:rPr>
        <w:t>12/6/2026</w:t>
      </w:r>
      <w:r>
        <w:rPr>
          <w:sz w:val="20"/>
          <w:szCs w:val="20"/>
          <w:color w:val="auto"/>
        </w:rPr>
        <w:tab/>
      </w:r>
      <w:r>
        <w:rPr>
          <w:rFonts w:ascii="Arial" w:cs="Arial" w:eastAsia="Arial" w:hAnsi="Arial"/>
          <w:sz w:val="12"/>
          <w:szCs w:val="12"/>
          <w:color w:val="auto"/>
        </w:rPr>
        <w:t>Continued employment through vesting date required.</w:t>
      </w:r>
    </w:p>
    <w:p>
      <w:pPr>
        <w:spacing w:after="0" w:line="172" w:lineRule="exact"/>
        <w:rPr>
          <w:sz w:val="20"/>
          <w:szCs w:val="20"/>
          <w:color w:val="auto"/>
        </w:rPr>
      </w:pPr>
    </w:p>
    <w:p>
      <w:pPr>
        <w:sectPr>
          <w:pgSz w:w="11900" w:h="16838" w:orient="portrait"/>
          <w:cols w:equalWidth="0" w:num="3">
            <w:col w:w="2300" w:space="240"/>
            <w:col w:w="2180" w:space="720"/>
            <w:col w:w="4580"/>
          </w:cols>
          <w:pgMar w:left="980" w:top="967" w:right="899" w:bottom="1440" w:gutter="0" w:footer="0" w:header="0"/>
          <w:type w:val="continuous"/>
        </w:sectPr>
      </w:pPr>
    </w:p>
    <w:tbl>
      <w:tblPr>
        <w:tblLayout w:type="fixed"/>
        <w:tblInd w:w="40" w:type="dxa"/>
        <w:tblCellMar>
          <w:top w:w="0" w:type="dxa"/>
          <w:left w:w="0" w:type="dxa"/>
          <w:bottom w:w="0" w:type="dxa"/>
          <w:right w:w="0" w:type="dxa"/>
        </w:tblCellMar>
      </w:tblPr>
      <w:tr>
        <w:trPr>
          <w:trHeight w:val="154"/>
        </w:trPr>
        <w:tc>
          <w:tcPr>
            <w:tcW w:w="240" w:type="dxa"/>
            <w:vAlign w:val="bottom"/>
          </w:tcPr>
          <w:p>
            <w:pPr>
              <w:jc w:val="right"/>
              <w:ind w:right="74"/>
              <w:spacing w:after="0"/>
              <w:rPr>
                <w:sz w:val="20"/>
                <w:szCs w:val="20"/>
                <w:color w:val="auto"/>
              </w:rPr>
            </w:pPr>
            <w:r>
              <w:rPr>
                <w:rFonts w:ascii="Arial" w:cs="Arial" w:eastAsia="Arial" w:hAnsi="Arial"/>
                <w:sz w:val="9"/>
                <w:szCs w:val="9"/>
                <w:color w:val="auto"/>
                <w:w w:val="90"/>
              </w:rPr>
              <w:t>(4)</w:t>
            </w:r>
          </w:p>
        </w:tc>
        <w:tc>
          <w:tcPr>
            <w:tcW w:w="2060" w:type="dxa"/>
            <w:vAlign w:val="bottom"/>
          </w:tcPr>
          <w:p>
            <w:pPr>
              <w:ind w:left="140"/>
              <w:spacing w:after="0"/>
              <w:rPr>
                <w:sz w:val="20"/>
                <w:szCs w:val="20"/>
                <w:color w:val="auto"/>
              </w:rPr>
            </w:pPr>
            <w:r>
              <w:rPr>
                <w:rFonts w:ascii="Arial" w:cs="Arial" w:eastAsia="Arial" w:hAnsi="Arial"/>
                <w:sz w:val="12"/>
                <w:szCs w:val="12"/>
                <w:color w:val="auto"/>
              </w:rPr>
              <w:t>Service-based restricted stock unit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2/23/2024</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331/3% per year</w:t>
            </w: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2060" w:type="dxa"/>
            <w:vAlign w:val="bottom"/>
          </w:tcPr>
          <w:p>
            <w:pPr>
              <w:ind w:left="140"/>
              <w:spacing w:after="0"/>
              <w:rPr>
                <w:sz w:val="20"/>
                <w:szCs w:val="20"/>
                <w:color w:val="auto"/>
              </w:rPr>
            </w:pPr>
            <w:r>
              <w:rPr>
                <w:rFonts w:ascii="Arial" w:cs="Arial" w:eastAsia="Arial" w:hAnsi="Arial"/>
                <w:sz w:val="12"/>
                <w:szCs w:val="12"/>
                <w:color w:val="auto"/>
              </w:rPr>
              <w:t>award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40" w:type="dxa"/>
            <w:vAlign w:val="bottom"/>
            <w:vMerge w:val="restart"/>
          </w:tcPr>
          <w:p>
            <w:pPr>
              <w:jc w:val="right"/>
              <w:ind w:right="74"/>
              <w:spacing w:after="0"/>
              <w:rPr>
                <w:sz w:val="20"/>
                <w:szCs w:val="20"/>
                <w:color w:val="auto"/>
              </w:rPr>
            </w:pPr>
            <w:r>
              <w:rPr>
                <w:rFonts w:ascii="Arial" w:cs="Arial" w:eastAsia="Arial" w:hAnsi="Arial"/>
                <w:sz w:val="9"/>
                <w:szCs w:val="9"/>
                <w:color w:val="auto"/>
                <w:w w:val="90"/>
              </w:rPr>
              <w:t>(5)</w:t>
            </w:r>
          </w:p>
        </w:tc>
        <w:tc>
          <w:tcPr>
            <w:tcW w:w="2060" w:type="dxa"/>
            <w:vAlign w:val="bottom"/>
            <w:vMerge w:val="restart"/>
          </w:tcPr>
          <w:p>
            <w:pPr>
              <w:ind w:left="140"/>
              <w:spacing w:after="0"/>
              <w:rPr>
                <w:sz w:val="20"/>
                <w:szCs w:val="20"/>
                <w:color w:val="auto"/>
              </w:rPr>
            </w:pPr>
            <w:r>
              <w:rPr>
                <w:rFonts w:ascii="Arial" w:cs="Arial" w:eastAsia="Arial" w:hAnsi="Arial"/>
                <w:sz w:val="12"/>
                <w:szCs w:val="12"/>
                <w:color w:val="auto"/>
              </w:rPr>
              <w:t>Performance stock units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w w:val="99"/>
              </w:rPr>
              <w:t>331/3% per year</w:t>
            </w:r>
          </w:p>
        </w:tc>
        <w:tc>
          <w:tcPr>
            <w:tcW w:w="0" w:type="dxa"/>
            <w:vAlign w:val="bottom"/>
          </w:tcPr>
          <w:p>
            <w:pPr>
              <w:spacing w:after="0"/>
              <w:rPr>
                <w:sz w:val="1"/>
                <w:szCs w:val="1"/>
                <w:color w:val="auto"/>
              </w:rPr>
            </w:pPr>
          </w:p>
        </w:tc>
      </w:tr>
      <w:tr>
        <w:trPr>
          <w:trHeight w:val="162"/>
        </w:trPr>
        <w:tc>
          <w:tcPr>
            <w:tcW w:w="24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840" w:type="dxa"/>
            <w:vAlign w:val="bottom"/>
            <w:shd w:val="clear" w:color="auto" w:fill="DFE4EA"/>
          </w:tcPr>
          <w:p>
            <w:pPr>
              <w:jc w:val="right"/>
              <w:ind w:right="38"/>
              <w:spacing w:after="0"/>
              <w:rPr>
                <w:sz w:val="20"/>
                <w:szCs w:val="20"/>
                <w:color w:val="auto"/>
              </w:rPr>
            </w:pPr>
            <w:r>
              <w:rPr>
                <w:rFonts w:ascii="Arial" w:cs="Arial" w:eastAsia="Arial" w:hAnsi="Arial"/>
                <w:sz w:val="12"/>
                <w:szCs w:val="12"/>
                <w:color w:val="auto"/>
              </w:rPr>
              <w:t>2/23/2024</w:t>
            </w:r>
          </w:p>
        </w:tc>
        <w:tc>
          <w:tcPr>
            <w:tcW w:w="100" w:type="dxa"/>
            <w:vAlign w:val="bottom"/>
            <w:shd w:val="clear" w:color="auto" w:fill="DFE4EA"/>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240" w:type="dxa"/>
            <w:vAlign w:val="bottom"/>
          </w:tcPr>
          <w:p>
            <w:pPr>
              <w:jc w:val="right"/>
              <w:ind w:right="74"/>
              <w:spacing w:after="0"/>
              <w:rPr>
                <w:sz w:val="20"/>
                <w:szCs w:val="20"/>
                <w:color w:val="auto"/>
              </w:rPr>
            </w:pPr>
            <w:r>
              <w:rPr>
                <w:rFonts w:ascii="Arial" w:cs="Arial" w:eastAsia="Arial" w:hAnsi="Arial"/>
                <w:sz w:val="9"/>
                <w:szCs w:val="9"/>
                <w:color w:val="auto"/>
                <w:w w:val="90"/>
              </w:rPr>
              <w:t>(6)</w:t>
            </w:r>
          </w:p>
        </w:tc>
        <w:tc>
          <w:tcPr>
            <w:tcW w:w="2140" w:type="dxa"/>
            <w:vAlign w:val="bottom"/>
          </w:tcPr>
          <w:p>
            <w:pPr>
              <w:ind w:left="140"/>
              <w:spacing w:after="0"/>
              <w:rPr>
                <w:sz w:val="20"/>
                <w:szCs w:val="20"/>
                <w:color w:val="auto"/>
              </w:rPr>
            </w:pPr>
            <w:r>
              <w:rPr>
                <w:rFonts w:ascii="Arial" w:cs="Arial" w:eastAsia="Arial" w:hAnsi="Arial"/>
                <w:sz w:val="12"/>
                <w:szCs w:val="12"/>
                <w:color w:val="auto"/>
              </w:rPr>
              <w:t>Service-based restricted stock unit</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2/28/2025</w:t>
            </w:r>
          </w:p>
        </w:tc>
        <w:tc>
          <w:tcPr>
            <w:tcW w:w="1000" w:type="dxa"/>
            <w:vAlign w:val="bottom"/>
          </w:tcPr>
          <w:p>
            <w:pPr>
              <w:ind w:left="100"/>
              <w:spacing w:after="0"/>
              <w:rPr>
                <w:sz w:val="20"/>
                <w:szCs w:val="20"/>
                <w:color w:val="auto"/>
              </w:rPr>
            </w:pPr>
            <w:r>
              <w:rPr>
                <w:rFonts w:ascii="Arial" w:cs="Arial" w:eastAsia="Arial" w:hAnsi="Arial"/>
                <w:sz w:val="12"/>
                <w:szCs w:val="12"/>
                <w:color w:val="auto"/>
                <w:w w:val="99"/>
              </w:rPr>
              <w:t>331/3% per year</w:t>
            </w:r>
          </w:p>
        </w:tc>
      </w:tr>
      <w:tr>
        <w:trPr>
          <w:trHeight w:val="164"/>
        </w:trPr>
        <w:tc>
          <w:tcPr>
            <w:tcW w:w="24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2"/>
                <w:szCs w:val="12"/>
                <w:color w:val="auto"/>
              </w:rPr>
              <w:t>award</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52"/>
        </w:trPr>
        <w:tc>
          <w:tcPr>
            <w:tcW w:w="240" w:type="dxa"/>
            <w:vAlign w:val="bottom"/>
          </w:tcPr>
          <w:p>
            <w:pPr>
              <w:jc w:val="right"/>
              <w:ind w:right="74"/>
              <w:spacing w:after="0"/>
              <w:rPr>
                <w:sz w:val="20"/>
                <w:szCs w:val="20"/>
                <w:color w:val="auto"/>
              </w:rPr>
            </w:pPr>
            <w:r>
              <w:rPr>
                <w:rFonts w:ascii="Arial" w:cs="Arial" w:eastAsia="Arial" w:hAnsi="Arial"/>
                <w:sz w:val="9"/>
                <w:szCs w:val="9"/>
                <w:color w:val="auto"/>
                <w:w w:val="90"/>
              </w:rPr>
              <w:t>(7)</w:t>
            </w:r>
          </w:p>
        </w:tc>
        <w:tc>
          <w:tcPr>
            <w:tcW w:w="2140" w:type="dxa"/>
            <w:vAlign w:val="bottom"/>
          </w:tcPr>
          <w:p>
            <w:pPr>
              <w:ind w:left="140"/>
              <w:spacing w:after="0"/>
              <w:rPr>
                <w:sz w:val="20"/>
                <w:szCs w:val="20"/>
                <w:color w:val="auto"/>
              </w:rPr>
            </w:pPr>
            <w:r>
              <w:rPr>
                <w:rFonts w:ascii="Arial" w:cs="Arial" w:eastAsia="Arial" w:hAnsi="Arial"/>
                <w:sz w:val="12"/>
                <w:szCs w:val="12"/>
                <w:color w:val="auto"/>
              </w:rPr>
              <w:t>Performance stock units</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2/28/2025</w:t>
            </w:r>
          </w:p>
        </w:tc>
        <w:tc>
          <w:tcPr>
            <w:tcW w:w="1000" w:type="dxa"/>
            <w:vAlign w:val="bottom"/>
          </w:tcPr>
          <w:p>
            <w:pPr>
              <w:ind w:left="100"/>
              <w:spacing w:after="0"/>
              <w:rPr>
                <w:sz w:val="20"/>
                <w:szCs w:val="20"/>
                <w:color w:val="auto"/>
              </w:rPr>
            </w:pPr>
            <w:r>
              <w:rPr>
                <w:rFonts w:ascii="Arial" w:cs="Arial" w:eastAsia="Arial" w:hAnsi="Arial"/>
                <w:sz w:val="12"/>
                <w:szCs w:val="12"/>
                <w:color w:val="auto"/>
                <w:w w:val="99"/>
              </w:rPr>
              <w:t>331/3% per year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420" w:right="540" w:hanging="379"/>
        <w:spacing w:after="0"/>
        <w:tabs>
          <w:tab w:leader="none" w:pos="400" w:val="left"/>
        </w:tabs>
        <w:rPr>
          <w:sz w:val="20"/>
          <w:szCs w:val="20"/>
          <w:color w:val="auto"/>
        </w:rPr>
      </w:pPr>
      <w:r>
        <w:rPr>
          <w:rFonts w:ascii="Arial" w:cs="Arial" w:eastAsia="Arial" w:hAnsi="Arial"/>
          <w:sz w:val="19"/>
          <w:szCs w:val="19"/>
          <w:color w:val="auto"/>
          <w:vertAlign w:val="superscript"/>
        </w:rPr>
        <w:t>(8)</w:t>
      </w:r>
      <w:r>
        <w:rPr>
          <w:sz w:val="20"/>
          <w:szCs w:val="20"/>
          <w:color w:val="auto"/>
        </w:rPr>
        <w:tab/>
      </w:r>
      <w:r>
        <w:rPr>
          <w:rFonts w:ascii="Arial" w:cs="Arial" w:eastAsia="Arial" w:hAnsi="Arial"/>
          <w:sz w:val="12"/>
          <w:szCs w:val="12"/>
          <w:color w:val="auto"/>
        </w:rPr>
        <w:t>Service-based restricted stock unit 8/12/2025 331/3% per year award</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(promotion grant)</w:t>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Arial" w:cs="Arial" w:eastAsia="Arial" w:hAnsi="Arial"/>
          <w:sz w:val="12"/>
          <w:szCs w:val="12"/>
          <w:color w:val="auto"/>
        </w:rPr>
        <w:t>2/23/2025</w:t>
      </w:r>
      <w:r>
        <w:rPr>
          <w:sz w:val="20"/>
          <w:szCs w:val="20"/>
          <w:color w:val="auto"/>
        </w:rPr>
        <w:tab/>
      </w:r>
      <w:r>
        <w:rPr>
          <w:rFonts w:ascii="Arial" w:cs="Arial" w:eastAsia="Arial" w:hAnsi="Arial"/>
          <w:sz w:val="12"/>
          <w:szCs w:val="12"/>
          <w:color w:val="auto"/>
        </w:rPr>
        <w:t>Continued employment through vesting date required.</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2/23/2026</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2/23/2027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-3449955</wp:posOffset>
            </wp:positionH>
            <wp:positionV relativeFrom="paragraph">
              <wp:posOffset>20320</wp:posOffset>
            </wp:positionV>
            <wp:extent cx="6363335" cy="9499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63335" cy="949960"/>
                    </a:xfrm>
                    <a:prstGeom prst="rect">
                      <a:avLst/>
                    </a:prstGeom>
                    <a:noFill/>
                  </pic:spPr>
                </pic:pic>
              </a:graphicData>
            </a:graphic>
          </wp:anchor>
        </w:drawing>
      </w:r>
    </w:p>
    <w:p>
      <w:pPr>
        <w:spacing w:after="0" w:line="28"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color w:val="auto"/>
        </w:rPr>
        <w:t>2/23/2025</w:t>
      </w:r>
      <w:r>
        <w:rPr>
          <w:sz w:val="20"/>
          <w:szCs w:val="20"/>
          <w:color w:val="auto"/>
        </w:rPr>
        <w:tab/>
      </w:r>
      <w:r>
        <w:rPr>
          <w:rFonts w:ascii="Arial" w:cs="Arial" w:eastAsia="Arial" w:hAnsi="Arial"/>
          <w:sz w:val="12"/>
          <w:szCs w:val="12"/>
          <w:color w:val="auto"/>
        </w:rPr>
        <w:t>Number of shares based on certification of performance metrics for</w:t>
      </w:r>
    </w:p>
    <w:p>
      <w:pPr>
        <w:spacing w:after="0" w:line="13" w:lineRule="exact"/>
        <w:rPr>
          <w:sz w:val="20"/>
          <w:szCs w:val="20"/>
          <w:color w:val="auto"/>
        </w:rPr>
      </w:pPr>
    </w:p>
    <w:p>
      <w:pPr>
        <w:ind w:left="780" w:right="80" w:hanging="779"/>
        <w:spacing w:after="0" w:line="198" w:lineRule="auto"/>
        <w:tabs>
          <w:tab w:leader="none" w:pos="760" w:val="left"/>
        </w:tabs>
        <w:rPr>
          <w:sz w:val="20"/>
          <w:szCs w:val="20"/>
          <w:color w:val="auto"/>
        </w:rPr>
      </w:pPr>
      <w:r>
        <w:rPr>
          <w:rFonts w:ascii="Arial" w:cs="Arial" w:eastAsia="Arial" w:hAnsi="Arial"/>
          <w:sz w:val="18"/>
          <w:szCs w:val="18"/>
          <w:color w:val="auto"/>
          <w:vertAlign w:val="subscript"/>
        </w:rPr>
        <w:t>2/23/2026</w:t>
      </w:r>
      <w:r>
        <w:rPr>
          <w:sz w:val="20"/>
          <w:szCs w:val="20"/>
          <w:color w:val="auto"/>
        </w:rPr>
        <w:tab/>
      </w:r>
      <w:r>
        <w:rPr>
          <w:rFonts w:ascii="Arial" w:cs="Arial" w:eastAsia="Arial" w:hAnsi="Arial"/>
          <w:sz w:val="10"/>
          <w:szCs w:val="10"/>
          <w:color w:val="auto"/>
        </w:rPr>
        <w:t>fiscal 2024, which the Compensation Committee determined in February 2025 (as described further above within the Compensation</w:t>
      </w:r>
    </w:p>
    <w:p>
      <w:pPr>
        <w:spacing w:after="0" w:line="1" w:lineRule="exact"/>
        <w:rPr>
          <w:sz w:val="20"/>
          <w:szCs w:val="20"/>
          <w:color w:val="auto"/>
        </w:rPr>
      </w:pPr>
    </w:p>
    <w:p>
      <w:pPr>
        <w:ind w:left="780" w:right="80" w:hanging="779"/>
        <w:spacing w:after="0" w:line="250" w:lineRule="auto"/>
        <w:tabs>
          <w:tab w:leader="none" w:pos="760" w:val="left"/>
        </w:tabs>
        <w:rPr>
          <w:sz w:val="20"/>
          <w:szCs w:val="20"/>
          <w:color w:val="auto"/>
        </w:rPr>
      </w:pPr>
      <w:r>
        <w:rPr>
          <w:rFonts w:ascii="Arial" w:cs="Arial" w:eastAsia="Arial" w:hAnsi="Arial"/>
          <w:sz w:val="12"/>
          <w:szCs w:val="12"/>
          <w:color w:val="auto"/>
        </w:rPr>
        <w:t>2/23/2027</w:t>
      </w:r>
      <w:r>
        <w:rPr>
          <w:sz w:val="20"/>
          <w:szCs w:val="20"/>
          <w:color w:val="auto"/>
        </w:rPr>
        <w:tab/>
      </w:r>
      <w:r>
        <w:rPr>
          <w:rFonts w:ascii="Arial" w:cs="Arial" w:eastAsia="Arial" w:hAnsi="Arial"/>
          <w:sz w:val="12"/>
          <w:szCs w:val="12"/>
          <w:color w:val="auto"/>
        </w:rPr>
        <w:t>Discussion and Analysis). Number of shares shown reflects the total number of shares awarded (130% of target) pursuant to the performance metric, as none of the shares had time-vested as of 12/31/2024. The first tranche of earned shares vested on March 6, 2025, the first date that the awards could be released following the date that the Company filed its Form 10-K for fiscal 2024.</w:t>
      </w:r>
    </w:p>
    <w:p>
      <w:pPr>
        <w:spacing w:after="0" w:line="30" w:lineRule="exact"/>
        <w:rPr>
          <w:sz w:val="20"/>
          <w:szCs w:val="20"/>
          <w:color w:val="auto"/>
        </w:rPr>
      </w:pPr>
    </w:p>
    <w:p>
      <w:pPr>
        <w:ind w:left="780"/>
        <w:spacing w:after="0"/>
        <w:rPr>
          <w:sz w:val="20"/>
          <w:szCs w:val="20"/>
          <w:color w:val="auto"/>
        </w:rPr>
      </w:pPr>
      <w:r>
        <w:rPr>
          <w:rFonts w:ascii="Arial" w:cs="Arial" w:eastAsia="Arial" w:hAnsi="Arial"/>
          <w:sz w:val="12"/>
          <w:szCs w:val="12"/>
          <w:color w:val="auto"/>
        </w:rPr>
        <w:t>Continued employment through vesting date required.</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color w:val="auto"/>
        </w:rPr>
        <w:t>2/28/2026</w:t>
      </w:r>
      <w:r>
        <w:rPr>
          <w:sz w:val="20"/>
          <w:szCs w:val="20"/>
          <w:color w:val="auto"/>
        </w:rPr>
        <w:tab/>
      </w:r>
      <w:r>
        <w:rPr>
          <w:rFonts w:ascii="Arial" w:cs="Arial" w:eastAsia="Arial" w:hAnsi="Arial"/>
          <w:sz w:val="12"/>
          <w:szCs w:val="12"/>
          <w:color w:val="auto"/>
        </w:rPr>
        <w:t>Continued employment through vesting date required.</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2/28/2027</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2/28/2028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-3449955</wp:posOffset>
            </wp:positionH>
            <wp:positionV relativeFrom="paragraph">
              <wp:posOffset>20320</wp:posOffset>
            </wp:positionV>
            <wp:extent cx="6363335" cy="9499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63335" cy="949960"/>
                    </a:xfrm>
                    <a:prstGeom prst="rect">
                      <a:avLst/>
                    </a:prstGeom>
                    <a:noFill/>
                  </pic:spPr>
                </pic:pic>
              </a:graphicData>
            </a:graphic>
          </wp:anchor>
        </w:drawing>
      </w:r>
    </w:p>
    <w:p>
      <w:pPr>
        <w:spacing w:after="0" w:line="28"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color w:val="auto"/>
        </w:rPr>
        <w:t>2/28/2026</w:t>
      </w:r>
      <w:r>
        <w:rPr>
          <w:sz w:val="20"/>
          <w:szCs w:val="20"/>
          <w:color w:val="auto"/>
        </w:rPr>
        <w:tab/>
      </w:r>
      <w:r>
        <w:rPr>
          <w:rFonts w:ascii="Arial" w:cs="Arial" w:eastAsia="Arial" w:hAnsi="Arial"/>
          <w:sz w:val="12"/>
          <w:szCs w:val="12"/>
          <w:color w:val="auto"/>
        </w:rPr>
        <w:t>Number of shares based on certification of performance metrics for</w:t>
      </w:r>
    </w:p>
    <w:p>
      <w:pPr>
        <w:spacing w:after="0" w:line="13" w:lineRule="exact"/>
        <w:rPr>
          <w:sz w:val="20"/>
          <w:szCs w:val="20"/>
          <w:color w:val="auto"/>
        </w:rPr>
      </w:pPr>
    </w:p>
    <w:p>
      <w:pPr>
        <w:ind w:left="780" w:right="80" w:hanging="779"/>
        <w:spacing w:after="0" w:line="198" w:lineRule="auto"/>
        <w:tabs>
          <w:tab w:leader="none" w:pos="760" w:val="left"/>
        </w:tabs>
        <w:rPr>
          <w:sz w:val="20"/>
          <w:szCs w:val="20"/>
          <w:color w:val="auto"/>
        </w:rPr>
      </w:pPr>
      <w:r>
        <w:rPr>
          <w:rFonts w:ascii="Arial" w:cs="Arial" w:eastAsia="Arial" w:hAnsi="Arial"/>
          <w:sz w:val="18"/>
          <w:szCs w:val="18"/>
          <w:color w:val="auto"/>
          <w:vertAlign w:val="subscript"/>
        </w:rPr>
        <w:t>2/28/2027</w:t>
      </w:r>
      <w:r>
        <w:rPr>
          <w:sz w:val="20"/>
          <w:szCs w:val="20"/>
          <w:color w:val="auto"/>
        </w:rPr>
        <w:tab/>
      </w:r>
      <w:r>
        <w:rPr>
          <w:rFonts w:ascii="Arial" w:cs="Arial" w:eastAsia="Arial" w:hAnsi="Arial"/>
          <w:sz w:val="10"/>
          <w:szCs w:val="10"/>
          <w:color w:val="auto"/>
        </w:rPr>
        <w:t>fiscal 2025, which the Compensation Committee determined in February 2026 (as described further above within the Compensation</w:t>
      </w:r>
    </w:p>
    <w:p>
      <w:pPr>
        <w:spacing w:after="0" w:line="1" w:lineRule="exact"/>
        <w:rPr>
          <w:sz w:val="20"/>
          <w:szCs w:val="20"/>
          <w:color w:val="auto"/>
        </w:rPr>
      </w:pPr>
    </w:p>
    <w:p>
      <w:pPr>
        <w:ind w:left="780" w:right="80" w:hanging="779"/>
        <w:spacing w:after="0" w:line="250" w:lineRule="auto"/>
        <w:tabs>
          <w:tab w:leader="none" w:pos="760" w:val="left"/>
        </w:tabs>
        <w:rPr>
          <w:sz w:val="20"/>
          <w:szCs w:val="20"/>
          <w:color w:val="auto"/>
        </w:rPr>
      </w:pPr>
      <w:r>
        <w:rPr>
          <w:rFonts w:ascii="Arial" w:cs="Arial" w:eastAsia="Arial" w:hAnsi="Arial"/>
          <w:sz w:val="12"/>
          <w:szCs w:val="12"/>
          <w:color w:val="auto"/>
        </w:rPr>
        <w:t>2/28/2028</w:t>
      </w:r>
      <w:r>
        <w:rPr>
          <w:sz w:val="20"/>
          <w:szCs w:val="20"/>
          <w:color w:val="auto"/>
        </w:rPr>
        <w:tab/>
      </w:r>
      <w:r>
        <w:rPr>
          <w:rFonts w:ascii="Arial" w:cs="Arial" w:eastAsia="Arial" w:hAnsi="Arial"/>
          <w:sz w:val="12"/>
          <w:szCs w:val="12"/>
          <w:color w:val="auto"/>
        </w:rPr>
        <w:t>Discussion and Analysis). Number of shares shown reflects the total number of shares awarded (118.7% of target) pursuant to the performance metric, as none of the shares had time-vested as of 12/31/2025. The first tranche of earned shares vested on February 28, 2026, the first date that the awards could be released following the date that the Company filed its Form 10-K for fiscal 2025.</w:t>
      </w:r>
    </w:p>
    <w:p>
      <w:pPr>
        <w:spacing w:after="0" w:line="30" w:lineRule="exact"/>
        <w:rPr>
          <w:sz w:val="20"/>
          <w:szCs w:val="20"/>
          <w:color w:val="auto"/>
        </w:rPr>
      </w:pPr>
    </w:p>
    <w:p>
      <w:pPr>
        <w:ind w:left="780"/>
        <w:spacing w:after="0"/>
        <w:rPr>
          <w:sz w:val="20"/>
          <w:szCs w:val="20"/>
          <w:color w:val="auto"/>
        </w:rPr>
      </w:pPr>
      <w:r>
        <w:rPr>
          <w:rFonts w:ascii="Arial" w:cs="Arial" w:eastAsia="Arial" w:hAnsi="Arial"/>
          <w:sz w:val="12"/>
          <w:szCs w:val="12"/>
          <w:color w:val="auto"/>
        </w:rPr>
        <w:t>Continued employment through vesting date required.</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color w:val="auto"/>
        </w:rPr>
        <w:t>8/12/2026</w:t>
      </w:r>
      <w:r>
        <w:rPr>
          <w:sz w:val="20"/>
          <w:szCs w:val="20"/>
          <w:color w:val="auto"/>
        </w:rPr>
        <w:tab/>
      </w:r>
      <w:r>
        <w:rPr>
          <w:rFonts w:ascii="Arial" w:cs="Arial" w:eastAsia="Arial" w:hAnsi="Arial"/>
          <w:sz w:val="12"/>
          <w:szCs w:val="12"/>
          <w:color w:val="auto"/>
        </w:rPr>
        <w:t>Continued employment through vesting date required.</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8/12/2027</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8/12/2028</w:t>
      </w:r>
    </w:p>
    <w:p>
      <w:pPr>
        <w:spacing w:after="0" w:line="200" w:lineRule="exact"/>
        <w:rPr>
          <w:sz w:val="20"/>
          <w:szCs w:val="20"/>
          <w:color w:val="auto"/>
        </w:rPr>
      </w:pPr>
    </w:p>
    <w:p>
      <w:pPr>
        <w:sectPr>
          <w:pgSz w:w="11900" w:h="16838" w:orient="portrait"/>
          <w:cols w:equalWidth="0" w:num="2">
            <w:col w:w="4720" w:space="720"/>
            <w:col w:w="4580"/>
          </w:cols>
          <w:pgMar w:left="980" w:top="967"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967" w:right="8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9"/>
          <w:szCs w:val="19"/>
          <w:b w:val="1"/>
          <w:bCs w:val="1"/>
          <w:color w:val="2B4B74"/>
        </w:rPr>
        <w:t>Option Exercises and Stock Vested</w:t>
      </w:r>
      <w:r>
        <w:rPr>
          <w:rFonts w:ascii="Arial" w:cs="Arial" w:eastAsia="Arial" w:hAnsi="Arial"/>
          <w:sz w:val="30"/>
          <w:szCs w:val="30"/>
          <w:b w:val="1"/>
          <w:bCs w:val="1"/>
          <w:color w:val="2B4B7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636333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00" w:type="dxa"/>
            <w:vAlign w:val="bottom"/>
          </w:tcPr>
          <w:p>
            <w:pPr>
              <w:spacing w:after="0"/>
              <w:rPr>
                <w:sz w:val="16"/>
                <w:szCs w:val="16"/>
                <w:color w:val="auto"/>
              </w:rPr>
            </w:pPr>
          </w:p>
        </w:tc>
        <w:tc>
          <w:tcPr>
            <w:tcW w:w="3480" w:type="dxa"/>
            <w:vAlign w:val="bottom"/>
            <w:tcBorders>
              <w:bottom w:val="single" w:sz="8" w:color="auto"/>
            </w:tcBorders>
            <w:gridSpan w:val="2"/>
          </w:tcPr>
          <w:p>
            <w:pPr>
              <w:jc w:val="right"/>
              <w:ind w:right="1127"/>
              <w:spacing w:after="0"/>
              <w:rPr>
                <w:sz w:val="20"/>
                <w:szCs w:val="20"/>
                <w:color w:val="auto"/>
              </w:rPr>
            </w:pPr>
            <w:r>
              <w:rPr>
                <w:rFonts w:ascii="Arial" w:cs="Arial" w:eastAsia="Arial" w:hAnsi="Arial"/>
                <w:sz w:val="15"/>
                <w:szCs w:val="15"/>
                <w:b w:val="1"/>
                <w:bCs w:val="1"/>
                <w:color w:val="auto"/>
              </w:rPr>
              <w:t>Option Awards</w:t>
            </w:r>
          </w:p>
        </w:tc>
        <w:tc>
          <w:tcPr>
            <w:tcW w:w="220" w:type="dxa"/>
            <w:vAlign w:val="bottom"/>
          </w:tcPr>
          <w:p>
            <w:pPr>
              <w:spacing w:after="0"/>
              <w:rPr>
                <w:sz w:val="16"/>
                <w:szCs w:val="16"/>
                <w:color w:val="auto"/>
              </w:rPr>
            </w:pPr>
          </w:p>
        </w:tc>
        <w:tc>
          <w:tcPr>
            <w:tcW w:w="3600" w:type="dxa"/>
            <w:vAlign w:val="bottom"/>
            <w:tcBorders>
              <w:bottom w:val="single" w:sz="8" w:color="auto"/>
            </w:tcBorders>
            <w:gridSpan w:val="2"/>
          </w:tcPr>
          <w:p>
            <w:pPr>
              <w:jc w:val="right"/>
              <w:ind w:right="1227"/>
              <w:spacing w:after="0"/>
              <w:rPr>
                <w:sz w:val="20"/>
                <w:szCs w:val="20"/>
                <w:color w:val="auto"/>
              </w:rPr>
            </w:pPr>
            <w:r>
              <w:rPr>
                <w:rFonts w:ascii="Arial" w:cs="Arial" w:eastAsia="Arial" w:hAnsi="Arial"/>
                <w:sz w:val="15"/>
                <w:szCs w:val="15"/>
                <w:b w:val="1"/>
                <w:bCs w:val="1"/>
                <w:color w:val="auto"/>
              </w:rPr>
              <w:t>Stock Awards</w:t>
            </w:r>
          </w:p>
        </w:tc>
      </w:tr>
      <w:tr>
        <w:trPr>
          <w:trHeight w:val="200"/>
        </w:trPr>
        <w:tc>
          <w:tcPr>
            <w:tcW w:w="27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5"/>
                <w:szCs w:val="15"/>
                <w:b w:val="1"/>
                <w:bCs w:val="1"/>
                <w:color w:val="auto"/>
              </w:rPr>
              <w:t>Number of Shares</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rPr>
              <w:t>Value Realized</w:t>
            </w:r>
          </w:p>
        </w:tc>
        <w:tc>
          <w:tcPr>
            <w:tcW w:w="2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5"/>
                <w:szCs w:val="15"/>
                <w:b w:val="1"/>
                <w:bCs w:val="1"/>
                <w:color w:val="auto"/>
              </w:rPr>
              <w:t>Number of Shares</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auto"/>
              </w:rPr>
              <w:t>Value Realized</w:t>
            </w:r>
          </w:p>
        </w:tc>
      </w:tr>
      <w:tr>
        <w:trPr>
          <w:trHeight w:val="192"/>
        </w:trPr>
        <w:tc>
          <w:tcPr>
            <w:tcW w:w="27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5"/>
                <w:szCs w:val="15"/>
                <w:b w:val="1"/>
                <w:bCs w:val="1"/>
                <w:color w:val="auto"/>
              </w:rPr>
              <w:t>Acquired on Exercise</w:t>
            </w:r>
          </w:p>
        </w:tc>
        <w:tc>
          <w:tcPr>
            <w:tcW w:w="150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rPr>
              <w:t>on Exercise</w:t>
            </w:r>
            <w:r>
              <w:rPr>
                <w:rFonts w:ascii="Arial" w:cs="Arial" w:eastAsia="Arial" w:hAnsi="Arial"/>
                <w:sz w:val="22"/>
                <w:szCs w:val="22"/>
                <w:b w:val="1"/>
                <w:bCs w:val="1"/>
                <w:color w:val="auto"/>
                <w:vertAlign w:val="superscript"/>
              </w:rPr>
              <w:t>(2)</w:t>
            </w:r>
          </w:p>
        </w:tc>
        <w:tc>
          <w:tcPr>
            <w:tcW w:w="2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5"/>
                <w:szCs w:val="15"/>
                <w:b w:val="1"/>
                <w:bCs w:val="1"/>
                <w:color w:val="auto"/>
              </w:rPr>
              <w:t>Acquired on Vesting</w:t>
            </w:r>
          </w:p>
        </w:tc>
        <w:tc>
          <w:tcPr>
            <w:tcW w:w="158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rPr>
              <w:t>on Vesting</w:t>
            </w:r>
            <w:r>
              <w:rPr>
                <w:rFonts w:ascii="Arial" w:cs="Arial" w:eastAsia="Arial" w:hAnsi="Arial"/>
                <w:sz w:val="22"/>
                <w:szCs w:val="22"/>
                <w:b w:val="1"/>
                <w:bCs w:val="1"/>
                <w:color w:val="auto"/>
                <w:vertAlign w:val="superscript"/>
              </w:rPr>
              <w:t>(3)</w:t>
            </w:r>
          </w:p>
        </w:tc>
      </w:tr>
      <w:tr>
        <w:trPr>
          <w:trHeight w:val="191"/>
        </w:trPr>
        <w:tc>
          <w:tcPr>
            <w:tcW w:w="2700" w:type="dxa"/>
            <w:vAlign w:val="bottom"/>
          </w:tcPr>
          <w:p>
            <w:pPr>
              <w:ind w:left="1140"/>
              <w:spacing w:after="0"/>
              <w:rPr>
                <w:sz w:val="20"/>
                <w:szCs w:val="20"/>
                <w:color w:val="auto"/>
              </w:rPr>
            </w:pPr>
            <w:r>
              <w:rPr>
                <w:rFonts w:ascii="Arial" w:cs="Arial" w:eastAsia="Arial" w:hAnsi="Arial"/>
                <w:sz w:val="15"/>
                <w:szCs w:val="15"/>
                <w:b w:val="1"/>
                <w:bCs w:val="1"/>
                <w:color w:val="auto"/>
              </w:rPr>
              <w:t>Name</w:t>
            </w:r>
          </w:p>
        </w:tc>
        <w:tc>
          <w:tcPr>
            <w:tcW w:w="198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240" w:type="dxa"/>
            <w:vAlign w:val="bottom"/>
            <w:gridSpan w:val="2"/>
          </w:tcPr>
          <w:p>
            <w:pPr>
              <w:jc w:val="center"/>
              <w:ind w:left="163"/>
              <w:spacing w:after="0"/>
              <w:rPr>
                <w:sz w:val="20"/>
                <w:szCs w:val="20"/>
                <w:color w:val="auto"/>
              </w:rPr>
            </w:pPr>
            <w:r>
              <w:rPr>
                <w:rFonts w:ascii="Arial" w:cs="Arial" w:eastAsia="Arial" w:hAnsi="Arial"/>
                <w:sz w:val="15"/>
                <w:szCs w:val="15"/>
                <w:b w:val="1"/>
                <w:bCs w:val="1"/>
                <w:color w:val="auto"/>
              </w:rPr>
              <w:t>(#)</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auto"/>
              </w:rPr>
              <w:t>($)</w:t>
            </w:r>
          </w:p>
        </w:tc>
      </w:tr>
      <w:tr>
        <w:trPr>
          <w:trHeight w:val="142"/>
        </w:trPr>
        <w:tc>
          <w:tcPr>
            <w:tcW w:w="2700" w:type="dxa"/>
            <w:vAlign w:val="bottom"/>
            <w:tcBorders>
              <w:top w:val="single" w:sz="8" w:color="auto"/>
            </w:tcBorders>
          </w:tcPr>
          <w:p>
            <w:pPr>
              <w:ind w:left="1300"/>
              <w:spacing w:after="0"/>
              <w:rPr>
                <w:sz w:val="20"/>
                <w:szCs w:val="20"/>
                <w:color w:val="auto"/>
              </w:rPr>
            </w:pPr>
            <w:r>
              <w:rPr>
                <w:rFonts w:ascii="Arial" w:cs="Arial" w:eastAsia="Arial" w:hAnsi="Arial"/>
                <w:sz w:val="9"/>
                <w:szCs w:val="9"/>
                <w:b w:val="1"/>
                <w:bCs w:val="1"/>
                <w:color w:val="auto"/>
              </w:rPr>
              <w:t>(a)</w:t>
            </w: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9"/>
                <w:szCs w:val="9"/>
                <w:b w:val="1"/>
                <w:bCs w:val="1"/>
                <w:color w:val="auto"/>
                <w:w w:val="86"/>
              </w:rPr>
              <w:t>(b)</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9"/>
                <w:szCs w:val="9"/>
                <w:b w:val="1"/>
                <w:bCs w:val="1"/>
                <w:color w:val="auto"/>
              </w:rPr>
              <w:t>(c)</w:t>
            </w:r>
          </w:p>
        </w:tc>
        <w:tc>
          <w:tcPr>
            <w:tcW w:w="220" w:type="dxa"/>
            <w:vAlign w:val="bottom"/>
          </w:tcPr>
          <w:p>
            <w:pPr>
              <w:spacing w:after="0"/>
              <w:rPr>
                <w:sz w:val="12"/>
                <w:szCs w:val="12"/>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9"/>
                <w:szCs w:val="9"/>
                <w:b w:val="1"/>
                <w:bCs w:val="1"/>
                <w:color w:val="auto"/>
              </w:rPr>
              <w:t>(d)</w:t>
            </w: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9"/>
                <w:szCs w:val="9"/>
                <w:b w:val="1"/>
                <w:bCs w:val="1"/>
                <w:color w:val="auto"/>
              </w:rPr>
              <w:t>(e)</w:t>
            </w:r>
          </w:p>
        </w:tc>
      </w:tr>
      <w:tr>
        <w:trPr>
          <w:trHeight w:val="36"/>
        </w:trPr>
        <w:tc>
          <w:tcPr>
            <w:tcW w:w="27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40" w:type="dxa"/>
            <w:vAlign w:val="bottom"/>
            <w:gridSpan w:val="2"/>
          </w:tcPr>
          <w:p>
            <w:pPr>
              <w:spacing w:after="0"/>
              <w:rPr>
                <w:sz w:val="3"/>
                <w:szCs w:val="3"/>
                <w:color w:val="auto"/>
              </w:rPr>
            </w:pPr>
          </w:p>
        </w:tc>
        <w:tc>
          <w:tcPr>
            <w:tcW w:w="1580" w:type="dxa"/>
            <w:vAlign w:val="bottom"/>
          </w:tcPr>
          <w:p>
            <w:pPr>
              <w:spacing w:after="0"/>
              <w:rPr>
                <w:sz w:val="3"/>
                <w:szCs w:val="3"/>
                <w:color w:val="auto"/>
              </w:rPr>
            </w:pPr>
          </w:p>
        </w:tc>
      </w:tr>
      <w:tr>
        <w:trPr>
          <w:trHeight w:val="220"/>
        </w:trPr>
        <w:tc>
          <w:tcPr>
            <w:tcW w:w="2700" w:type="dxa"/>
            <w:vAlign w:val="bottom"/>
            <w:shd w:val="clear" w:color="auto" w:fill="DFE4EA"/>
          </w:tcPr>
          <w:p>
            <w:pPr>
              <w:ind w:left="40"/>
              <w:spacing w:after="0"/>
              <w:rPr>
                <w:sz w:val="20"/>
                <w:szCs w:val="20"/>
                <w:color w:val="auto"/>
              </w:rPr>
            </w:pPr>
            <w:r>
              <w:rPr>
                <w:rFonts w:ascii="Arial" w:cs="Arial" w:eastAsia="Arial" w:hAnsi="Arial"/>
                <w:sz w:val="15"/>
                <w:szCs w:val="15"/>
                <w:color w:val="auto"/>
              </w:rPr>
              <w:t>J. Patrick Mackin</w:t>
            </w:r>
          </w:p>
        </w:tc>
        <w:tc>
          <w:tcPr>
            <w:tcW w:w="1980" w:type="dxa"/>
            <w:vAlign w:val="bottom"/>
            <w:shd w:val="clear" w:color="auto" w:fill="DFE4EA"/>
          </w:tcPr>
          <w:p>
            <w:pPr>
              <w:jc w:val="right"/>
              <w:ind w:right="486"/>
              <w:spacing w:after="0"/>
              <w:rPr>
                <w:sz w:val="20"/>
                <w:szCs w:val="20"/>
                <w:color w:val="auto"/>
              </w:rPr>
            </w:pPr>
            <w:r>
              <w:rPr>
                <w:rFonts w:ascii="Arial" w:cs="Arial" w:eastAsia="Arial" w:hAnsi="Arial"/>
                <w:sz w:val="15"/>
                <w:szCs w:val="15"/>
                <w:color w:val="auto"/>
              </w:rPr>
              <w:t>137,457</w:t>
            </w:r>
          </w:p>
        </w:tc>
        <w:tc>
          <w:tcPr>
            <w:tcW w:w="1500" w:type="dxa"/>
            <w:vAlign w:val="bottom"/>
            <w:shd w:val="clear" w:color="auto" w:fill="DFE4EA"/>
          </w:tcPr>
          <w:p>
            <w:pPr>
              <w:jc w:val="right"/>
              <w:ind w:right="207"/>
              <w:spacing w:after="0"/>
              <w:rPr>
                <w:sz w:val="20"/>
                <w:szCs w:val="20"/>
                <w:color w:val="auto"/>
              </w:rPr>
            </w:pPr>
            <w:r>
              <w:rPr>
                <w:rFonts w:ascii="Arial" w:cs="Arial" w:eastAsia="Arial" w:hAnsi="Arial"/>
                <w:sz w:val="15"/>
                <w:szCs w:val="15"/>
                <w:color w:val="auto"/>
              </w:rPr>
              <w:t>1,225,459</w:t>
            </w:r>
          </w:p>
        </w:tc>
        <w:tc>
          <w:tcPr>
            <w:tcW w:w="2240" w:type="dxa"/>
            <w:vAlign w:val="bottom"/>
            <w:gridSpan w:val="2"/>
            <w:shd w:val="clear" w:color="auto" w:fill="DFE4EA"/>
          </w:tcPr>
          <w:p>
            <w:pPr>
              <w:jc w:val="right"/>
              <w:ind w:right="470"/>
              <w:spacing w:after="0"/>
              <w:rPr>
                <w:sz w:val="20"/>
                <w:szCs w:val="20"/>
                <w:color w:val="auto"/>
              </w:rPr>
            </w:pPr>
            <w:r>
              <w:rPr>
                <w:rFonts w:ascii="Arial" w:cs="Arial" w:eastAsia="Arial" w:hAnsi="Arial"/>
                <w:sz w:val="15"/>
                <w:szCs w:val="15"/>
                <w:color w:val="auto"/>
              </w:rPr>
              <w:t>258,012</w:t>
            </w:r>
          </w:p>
        </w:tc>
        <w:tc>
          <w:tcPr>
            <w:tcW w:w="1580" w:type="dxa"/>
            <w:vAlign w:val="bottom"/>
            <w:shd w:val="clear" w:color="auto" w:fill="DFE4EA"/>
          </w:tcPr>
          <w:p>
            <w:pPr>
              <w:jc w:val="right"/>
              <w:ind w:right="227"/>
              <w:spacing w:after="0"/>
              <w:rPr>
                <w:sz w:val="20"/>
                <w:szCs w:val="20"/>
                <w:color w:val="auto"/>
              </w:rPr>
            </w:pPr>
            <w:r>
              <w:rPr>
                <w:rFonts w:ascii="Arial" w:cs="Arial" w:eastAsia="Arial" w:hAnsi="Arial"/>
                <w:sz w:val="15"/>
                <w:szCs w:val="15"/>
                <w:color w:val="auto"/>
              </w:rPr>
              <w:t>9,124,109</w:t>
            </w:r>
          </w:p>
        </w:tc>
      </w:tr>
      <w:tr>
        <w:trPr>
          <w:trHeight w:val="216"/>
        </w:trPr>
        <w:tc>
          <w:tcPr>
            <w:tcW w:w="2700" w:type="dxa"/>
            <w:vAlign w:val="bottom"/>
          </w:tcPr>
          <w:p>
            <w:pPr>
              <w:ind w:left="40"/>
              <w:spacing w:after="0"/>
              <w:rPr>
                <w:sz w:val="20"/>
                <w:szCs w:val="20"/>
                <w:color w:val="auto"/>
              </w:rPr>
            </w:pPr>
            <w:r>
              <w:rPr>
                <w:rFonts w:ascii="Arial" w:cs="Arial" w:eastAsia="Arial" w:hAnsi="Arial"/>
                <w:sz w:val="15"/>
                <w:szCs w:val="15"/>
                <w:color w:val="auto"/>
              </w:rPr>
              <w:t>Lance A. Berry</w:t>
            </w:r>
          </w:p>
        </w:tc>
        <w:tc>
          <w:tcPr>
            <w:tcW w:w="1980" w:type="dxa"/>
            <w:vAlign w:val="bottom"/>
          </w:tcPr>
          <w:p>
            <w:pPr>
              <w:jc w:val="right"/>
              <w:ind w:right="48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07"/>
              <w:spacing w:after="0"/>
              <w:rPr>
                <w:sz w:val="20"/>
                <w:szCs w:val="20"/>
                <w:color w:val="auto"/>
              </w:rPr>
            </w:pPr>
            <w:r>
              <w:rPr>
                <w:rFonts w:ascii="Arial" w:cs="Arial" w:eastAsia="Arial" w:hAnsi="Arial"/>
                <w:sz w:val="15"/>
                <w:szCs w:val="15"/>
                <w:color w:val="auto"/>
              </w:rPr>
              <w:t>—</w:t>
            </w:r>
          </w:p>
        </w:tc>
        <w:tc>
          <w:tcPr>
            <w:tcW w:w="2240" w:type="dxa"/>
            <w:vAlign w:val="bottom"/>
            <w:gridSpan w:val="2"/>
          </w:tcPr>
          <w:p>
            <w:pPr>
              <w:jc w:val="right"/>
              <w:ind w:right="470"/>
              <w:spacing w:after="0"/>
              <w:rPr>
                <w:sz w:val="20"/>
                <w:szCs w:val="20"/>
                <w:color w:val="auto"/>
              </w:rPr>
            </w:pPr>
            <w:r>
              <w:rPr>
                <w:rFonts w:ascii="Arial" w:cs="Arial" w:eastAsia="Arial" w:hAnsi="Arial"/>
                <w:sz w:val="15"/>
                <w:szCs w:val="15"/>
                <w:color w:val="auto"/>
              </w:rPr>
              <w:t>28,368</w:t>
            </w:r>
          </w:p>
        </w:tc>
        <w:tc>
          <w:tcPr>
            <w:tcW w:w="1580" w:type="dxa"/>
            <w:vAlign w:val="bottom"/>
          </w:tcPr>
          <w:p>
            <w:pPr>
              <w:jc w:val="right"/>
              <w:ind w:right="227"/>
              <w:spacing w:after="0"/>
              <w:rPr>
                <w:sz w:val="20"/>
                <w:szCs w:val="20"/>
                <w:color w:val="auto"/>
              </w:rPr>
            </w:pPr>
            <w:r>
              <w:rPr>
                <w:rFonts w:ascii="Arial" w:cs="Arial" w:eastAsia="Arial" w:hAnsi="Arial"/>
                <w:sz w:val="15"/>
                <w:szCs w:val="15"/>
                <w:color w:val="auto"/>
              </w:rPr>
              <w:t>755,983</w:t>
            </w:r>
          </w:p>
        </w:tc>
      </w:tr>
      <w:tr>
        <w:trPr>
          <w:trHeight w:val="224"/>
        </w:trPr>
        <w:tc>
          <w:tcPr>
            <w:tcW w:w="2700" w:type="dxa"/>
            <w:vAlign w:val="bottom"/>
            <w:shd w:val="clear" w:color="auto" w:fill="DFE4EA"/>
          </w:tcPr>
          <w:p>
            <w:pPr>
              <w:ind w:left="40"/>
              <w:spacing w:after="0"/>
              <w:rPr>
                <w:sz w:val="20"/>
                <w:szCs w:val="20"/>
                <w:color w:val="auto"/>
              </w:rPr>
            </w:pPr>
            <w:r>
              <w:rPr>
                <w:rFonts w:ascii="Arial" w:cs="Arial" w:eastAsia="Arial" w:hAnsi="Arial"/>
                <w:sz w:val="15"/>
                <w:szCs w:val="15"/>
                <w:color w:val="auto"/>
              </w:rPr>
              <w:t>Jean F. Holloway</w:t>
            </w:r>
          </w:p>
        </w:tc>
        <w:tc>
          <w:tcPr>
            <w:tcW w:w="1980" w:type="dxa"/>
            <w:vAlign w:val="bottom"/>
            <w:shd w:val="clear" w:color="auto" w:fill="DFE4EA"/>
          </w:tcPr>
          <w:p>
            <w:pPr>
              <w:jc w:val="right"/>
              <w:ind w:right="486"/>
              <w:spacing w:after="0"/>
              <w:rPr>
                <w:sz w:val="20"/>
                <w:szCs w:val="20"/>
                <w:color w:val="auto"/>
              </w:rPr>
            </w:pPr>
            <w:r>
              <w:rPr>
                <w:rFonts w:ascii="Arial" w:cs="Arial" w:eastAsia="Arial" w:hAnsi="Arial"/>
                <w:sz w:val="15"/>
                <w:szCs w:val="15"/>
                <w:color w:val="auto"/>
              </w:rPr>
              <w:t>68,854</w:t>
            </w:r>
          </w:p>
        </w:tc>
        <w:tc>
          <w:tcPr>
            <w:tcW w:w="1500" w:type="dxa"/>
            <w:vAlign w:val="bottom"/>
            <w:shd w:val="clear" w:color="auto" w:fill="DFE4EA"/>
          </w:tcPr>
          <w:p>
            <w:pPr>
              <w:jc w:val="right"/>
              <w:ind w:right="207"/>
              <w:spacing w:after="0"/>
              <w:rPr>
                <w:sz w:val="20"/>
                <w:szCs w:val="20"/>
                <w:color w:val="auto"/>
              </w:rPr>
            </w:pPr>
            <w:r>
              <w:rPr>
                <w:rFonts w:ascii="Arial" w:cs="Arial" w:eastAsia="Arial" w:hAnsi="Arial"/>
                <w:sz w:val="15"/>
                <w:szCs w:val="15"/>
                <w:color w:val="auto"/>
              </w:rPr>
              <w:t>1,206,587</w:t>
            </w:r>
          </w:p>
        </w:tc>
        <w:tc>
          <w:tcPr>
            <w:tcW w:w="2240" w:type="dxa"/>
            <w:vAlign w:val="bottom"/>
            <w:gridSpan w:val="2"/>
            <w:shd w:val="clear" w:color="auto" w:fill="DFE4EA"/>
          </w:tcPr>
          <w:p>
            <w:pPr>
              <w:jc w:val="right"/>
              <w:ind w:right="470"/>
              <w:spacing w:after="0"/>
              <w:rPr>
                <w:sz w:val="20"/>
                <w:szCs w:val="20"/>
                <w:color w:val="auto"/>
              </w:rPr>
            </w:pPr>
            <w:r>
              <w:rPr>
                <w:rFonts w:ascii="Arial" w:cs="Arial" w:eastAsia="Arial" w:hAnsi="Arial"/>
                <w:sz w:val="15"/>
                <w:szCs w:val="15"/>
                <w:color w:val="auto"/>
              </w:rPr>
              <w:t>51,389</w:t>
            </w:r>
          </w:p>
        </w:tc>
        <w:tc>
          <w:tcPr>
            <w:tcW w:w="1580" w:type="dxa"/>
            <w:vAlign w:val="bottom"/>
            <w:shd w:val="clear" w:color="auto" w:fill="DFE4EA"/>
          </w:tcPr>
          <w:p>
            <w:pPr>
              <w:jc w:val="right"/>
              <w:ind w:right="227"/>
              <w:spacing w:after="0"/>
              <w:rPr>
                <w:sz w:val="20"/>
                <w:szCs w:val="20"/>
                <w:color w:val="auto"/>
              </w:rPr>
            </w:pPr>
            <w:r>
              <w:rPr>
                <w:rFonts w:ascii="Arial" w:cs="Arial" w:eastAsia="Arial" w:hAnsi="Arial"/>
                <w:sz w:val="15"/>
                <w:szCs w:val="15"/>
                <w:color w:val="auto"/>
              </w:rPr>
              <w:t>1,800,746</w:t>
            </w:r>
          </w:p>
        </w:tc>
      </w:tr>
      <w:tr>
        <w:trPr>
          <w:trHeight w:val="216"/>
        </w:trPr>
        <w:tc>
          <w:tcPr>
            <w:tcW w:w="2700" w:type="dxa"/>
            <w:vAlign w:val="bottom"/>
          </w:tcPr>
          <w:p>
            <w:pPr>
              <w:ind w:left="40"/>
              <w:spacing w:after="0"/>
              <w:rPr>
                <w:sz w:val="20"/>
                <w:szCs w:val="20"/>
                <w:color w:val="auto"/>
              </w:rPr>
            </w:pPr>
            <w:r>
              <w:rPr>
                <w:rFonts w:ascii="Arial" w:cs="Arial" w:eastAsia="Arial" w:hAnsi="Arial"/>
                <w:sz w:val="15"/>
                <w:szCs w:val="15"/>
                <w:color w:val="auto"/>
              </w:rPr>
              <w:t>John E. Davis</w:t>
            </w:r>
          </w:p>
        </w:tc>
        <w:tc>
          <w:tcPr>
            <w:tcW w:w="1980" w:type="dxa"/>
            <w:vAlign w:val="bottom"/>
          </w:tcPr>
          <w:p>
            <w:pPr>
              <w:jc w:val="right"/>
              <w:ind w:right="486"/>
              <w:spacing w:after="0"/>
              <w:rPr>
                <w:sz w:val="20"/>
                <w:szCs w:val="20"/>
                <w:color w:val="auto"/>
              </w:rPr>
            </w:pPr>
            <w:r>
              <w:rPr>
                <w:rFonts w:ascii="Arial" w:cs="Arial" w:eastAsia="Arial" w:hAnsi="Arial"/>
                <w:sz w:val="15"/>
                <w:szCs w:val="15"/>
                <w:color w:val="auto"/>
              </w:rPr>
              <w:t>39,499</w:t>
            </w:r>
          </w:p>
        </w:tc>
        <w:tc>
          <w:tcPr>
            <w:tcW w:w="1500" w:type="dxa"/>
            <w:vAlign w:val="bottom"/>
          </w:tcPr>
          <w:p>
            <w:pPr>
              <w:jc w:val="right"/>
              <w:ind w:right="207"/>
              <w:spacing w:after="0"/>
              <w:rPr>
                <w:sz w:val="20"/>
                <w:szCs w:val="20"/>
                <w:color w:val="auto"/>
              </w:rPr>
            </w:pPr>
            <w:r>
              <w:rPr>
                <w:rFonts w:ascii="Arial" w:cs="Arial" w:eastAsia="Arial" w:hAnsi="Arial"/>
                <w:sz w:val="15"/>
                <w:szCs w:val="15"/>
                <w:color w:val="auto"/>
              </w:rPr>
              <w:t>416,658</w:t>
            </w:r>
          </w:p>
        </w:tc>
        <w:tc>
          <w:tcPr>
            <w:tcW w:w="2240" w:type="dxa"/>
            <w:vAlign w:val="bottom"/>
            <w:gridSpan w:val="2"/>
          </w:tcPr>
          <w:p>
            <w:pPr>
              <w:jc w:val="right"/>
              <w:ind w:right="470"/>
              <w:spacing w:after="0"/>
              <w:rPr>
                <w:sz w:val="20"/>
                <w:szCs w:val="20"/>
                <w:color w:val="auto"/>
              </w:rPr>
            </w:pPr>
            <w:r>
              <w:rPr>
                <w:rFonts w:ascii="Arial" w:cs="Arial" w:eastAsia="Arial" w:hAnsi="Arial"/>
                <w:sz w:val="15"/>
                <w:szCs w:val="15"/>
                <w:color w:val="auto"/>
              </w:rPr>
              <w:t>51,147</w:t>
            </w:r>
          </w:p>
        </w:tc>
        <w:tc>
          <w:tcPr>
            <w:tcW w:w="1580" w:type="dxa"/>
            <w:vAlign w:val="bottom"/>
          </w:tcPr>
          <w:p>
            <w:pPr>
              <w:jc w:val="right"/>
              <w:ind w:right="227"/>
              <w:spacing w:after="0"/>
              <w:rPr>
                <w:sz w:val="20"/>
                <w:szCs w:val="20"/>
                <w:color w:val="auto"/>
              </w:rPr>
            </w:pPr>
            <w:r>
              <w:rPr>
                <w:rFonts w:ascii="Arial" w:cs="Arial" w:eastAsia="Arial" w:hAnsi="Arial"/>
                <w:sz w:val="15"/>
                <w:szCs w:val="15"/>
                <w:color w:val="auto"/>
              </w:rPr>
              <w:t>1,791,497</w:t>
            </w:r>
          </w:p>
        </w:tc>
      </w:tr>
      <w:tr>
        <w:trPr>
          <w:trHeight w:val="224"/>
        </w:trPr>
        <w:tc>
          <w:tcPr>
            <w:tcW w:w="2700" w:type="dxa"/>
            <w:vAlign w:val="bottom"/>
            <w:shd w:val="clear" w:color="auto" w:fill="DFE4EA"/>
          </w:tcPr>
          <w:p>
            <w:pPr>
              <w:ind w:left="40"/>
              <w:spacing w:after="0"/>
              <w:rPr>
                <w:sz w:val="20"/>
                <w:szCs w:val="20"/>
                <w:color w:val="auto"/>
              </w:rPr>
            </w:pPr>
            <w:r>
              <w:rPr>
                <w:rFonts w:ascii="Arial" w:cs="Arial" w:eastAsia="Arial" w:hAnsi="Arial"/>
                <w:sz w:val="15"/>
                <w:szCs w:val="15"/>
                <w:color w:val="auto"/>
              </w:rPr>
              <w:t>Marshall S. Stanton</w:t>
            </w:r>
          </w:p>
        </w:tc>
        <w:tc>
          <w:tcPr>
            <w:tcW w:w="1980" w:type="dxa"/>
            <w:vAlign w:val="bottom"/>
            <w:shd w:val="clear" w:color="auto" w:fill="DFE4EA"/>
          </w:tcPr>
          <w:p>
            <w:pPr>
              <w:jc w:val="right"/>
              <w:ind w:right="486"/>
              <w:spacing w:after="0"/>
              <w:rPr>
                <w:sz w:val="20"/>
                <w:szCs w:val="20"/>
                <w:color w:val="auto"/>
              </w:rPr>
            </w:pPr>
            <w:r>
              <w:rPr>
                <w:rFonts w:ascii="Arial" w:cs="Arial" w:eastAsia="Arial" w:hAnsi="Arial"/>
                <w:sz w:val="15"/>
                <w:szCs w:val="15"/>
                <w:color w:val="auto"/>
              </w:rPr>
              <w:t>68,964</w:t>
            </w:r>
          </w:p>
        </w:tc>
        <w:tc>
          <w:tcPr>
            <w:tcW w:w="1500" w:type="dxa"/>
            <w:vAlign w:val="bottom"/>
            <w:shd w:val="clear" w:color="auto" w:fill="DFE4EA"/>
          </w:tcPr>
          <w:p>
            <w:pPr>
              <w:jc w:val="right"/>
              <w:ind w:right="207"/>
              <w:spacing w:after="0"/>
              <w:rPr>
                <w:sz w:val="20"/>
                <w:szCs w:val="20"/>
                <w:color w:val="auto"/>
              </w:rPr>
            </w:pPr>
            <w:r>
              <w:rPr>
                <w:rFonts w:ascii="Arial" w:cs="Arial" w:eastAsia="Arial" w:hAnsi="Arial"/>
                <w:sz w:val="15"/>
                <w:szCs w:val="15"/>
                <w:color w:val="auto"/>
              </w:rPr>
              <w:t>2,159,070</w:t>
            </w:r>
          </w:p>
        </w:tc>
        <w:tc>
          <w:tcPr>
            <w:tcW w:w="2240" w:type="dxa"/>
            <w:vAlign w:val="bottom"/>
            <w:gridSpan w:val="2"/>
            <w:shd w:val="clear" w:color="auto" w:fill="DFE4EA"/>
          </w:tcPr>
          <w:p>
            <w:pPr>
              <w:jc w:val="right"/>
              <w:ind w:right="470"/>
              <w:spacing w:after="0"/>
              <w:rPr>
                <w:sz w:val="20"/>
                <w:szCs w:val="20"/>
                <w:color w:val="auto"/>
              </w:rPr>
            </w:pPr>
            <w:r>
              <w:rPr>
                <w:rFonts w:ascii="Arial" w:cs="Arial" w:eastAsia="Arial" w:hAnsi="Arial"/>
                <w:sz w:val="15"/>
                <w:szCs w:val="15"/>
                <w:color w:val="auto"/>
              </w:rPr>
              <w:t>43,721</w:t>
            </w:r>
          </w:p>
        </w:tc>
        <w:tc>
          <w:tcPr>
            <w:tcW w:w="1580" w:type="dxa"/>
            <w:vAlign w:val="bottom"/>
            <w:shd w:val="clear" w:color="auto" w:fill="DFE4EA"/>
          </w:tcPr>
          <w:p>
            <w:pPr>
              <w:jc w:val="right"/>
              <w:ind w:right="227"/>
              <w:spacing w:after="0"/>
              <w:rPr>
                <w:sz w:val="20"/>
                <w:szCs w:val="20"/>
                <w:color w:val="auto"/>
              </w:rPr>
            </w:pPr>
            <w:r>
              <w:rPr>
                <w:rFonts w:ascii="Arial" w:cs="Arial" w:eastAsia="Arial" w:hAnsi="Arial"/>
                <w:sz w:val="15"/>
                <w:szCs w:val="15"/>
                <w:color w:val="auto"/>
              </w:rPr>
              <w:t>1,540,290</w:t>
            </w:r>
          </w:p>
        </w:tc>
      </w:tr>
    </w:tbl>
    <w:p>
      <w:pPr>
        <w:spacing w:after="0" w:line="81" w:lineRule="exact"/>
        <w:rPr>
          <w:sz w:val="20"/>
          <w:szCs w:val="20"/>
          <w:color w:val="auto"/>
        </w:rPr>
      </w:pPr>
    </w:p>
    <w:p>
      <w:pPr>
        <w:ind w:left="220" w:hanging="219"/>
        <w:spacing w:after="0"/>
        <w:tabs>
          <w:tab w:leader="none" w:pos="22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This table provides information regarding stock option exercises and vesting of restricted stock and performance stock units during 2025.</w:t>
      </w:r>
    </w:p>
    <w:p>
      <w:pPr>
        <w:spacing w:after="0" w:line="117"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Value Realized on Exercise is equal to the number of shares acquired multiplied by the difference between the exercise price and the share price on the NYSE at the time of exercise without regard to any proceeds that may have been received upon any sale of the underlying shares.</w:t>
      </w:r>
    </w:p>
    <w:p>
      <w:pPr>
        <w:spacing w:after="0" w:line="118"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Value Realized on Vesting is equal to the number of shares acquired multiplied by the closing share price on the NYSE on the date of vesting, without regard to any proceeds that may have been received upon any sale of the underlying shares.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36333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34"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color w:val="auto"/>
        </w:rPr>
        <w:t>The Artivion, Inc. Executive Deferred Compensation Plan allows certain key employees of Artivion, including the Named Executive Officers, to defer receipt of some or all of their salaries, commissions, and/or the cash portion of any bonus awarded pursuant to the short-term executive officer incentive plan. The plan’s administrative committee, subject to ratification and approval of the Compensation Committee, establishes the maximum and minimum percentages of bonus awards that plan participants may defer in each plan year. These percentages were 0% for base salary and commissions and were 75% for the annual cash bonus for 2025. Plan participants may establish their respective deferral amounts for their base salaries and commissions prior to the beginning of each calendar year, and prior to July for their short-term incentive compensation for that year, which is calculated and paid after the completion of the plan year.</w:t>
      </w:r>
    </w:p>
    <w:p>
      <w:pPr>
        <w:spacing w:after="0" w:line="116" w:lineRule="exact"/>
        <w:rPr>
          <w:sz w:val="20"/>
          <w:szCs w:val="20"/>
          <w:color w:val="auto"/>
        </w:rPr>
      </w:pPr>
    </w:p>
    <w:p>
      <w:pPr>
        <w:jc w:val="both"/>
        <w:ind w:firstLine="334"/>
        <w:spacing w:after="0" w:line="246" w:lineRule="auto"/>
        <w:rPr>
          <w:sz w:val="20"/>
          <w:szCs w:val="20"/>
          <w:color w:val="auto"/>
        </w:rPr>
      </w:pPr>
      <w:r>
        <w:rPr>
          <w:rFonts w:ascii="Arial" w:cs="Arial" w:eastAsia="Arial" w:hAnsi="Arial"/>
          <w:sz w:val="15"/>
          <w:szCs w:val="15"/>
          <w:color w:val="auto"/>
        </w:rPr>
        <w:t>The plan provides for tax-deferred growth of deferred compensation and, pursuant to the terms of the plan, Artivion agrees to distribute to participants the deferred amounts, credited/debited with hypothetical gains and/or losses linked to the performance of investment options selected by participants from among the non-proprietary investment options available under the plan. The plan does not have investment options that provide for above-market or preferential earnings. Distribution of all deferred compensation, including any gains or losses, occurs upon death, disability, retirement, or termination. Plan participants may elect to receive the distribution in a lump sum or in annual installments of up to 15 years, or via a combination thereof, upon death, disability, or retirement. Also, a plan participant may elect to receive distributions while still employed by Artivion if at least two years have elapsed from the plan year in which the deferred amounts would have otherwise been paid to the plan participant if not for the deferral. Distributions made while the plan participant is still employed by Artivion, and distributions made pursuant to termination, will be paid in a lump sum to the plan participant. Hardship withdrawals during any plan year may be made upon the occurrence of an unforeseeable emergency for a particular plan participant or if a plan participant receives a hardship distribution under Artivion’s 401(k) plan. All deferred amounts and deemed earnings thereon are fully vested at all times.</w:t>
      </w:r>
    </w:p>
    <w:p>
      <w:pPr>
        <w:sectPr>
          <w:pgSz w:w="11900" w:h="16838" w:orient="portrait"/>
          <w:cols w:equalWidth="0" w:num="1">
            <w:col w:w="10020"/>
          </w:cols>
          <w:pgMar w:left="980" w:top="865"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65" w:right="899" w:bottom="1440" w:gutter="0" w:footer="0" w:header="0"/>
          <w:type w:val="continuous"/>
        </w:sectPr>
      </w:pPr>
    </w:p>
    <w:bookmarkStart w:id="50" w:name="page51"/>
    <w:bookmarkEnd w:id="50"/>
    <w:p>
      <w:pPr>
        <w:ind w:firstLine="334"/>
        <w:spacing w:after="0" w:line="285" w:lineRule="auto"/>
        <w:rPr>
          <w:sz w:val="20"/>
          <w:szCs w:val="20"/>
          <w:color w:val="auto"/>
        </w:rPr>
      </w:pPr>
      <w:r>
        <w:rPr>
          <w:rFonts w:ascii="Arial" w:cs="Arial" w:eastAsia="Arial" w:hAnsi="Arial"/>
          <w:sz w:val="15"/>
          <w:szCs w:val="15"/>
          <w:color w:val="auto"/>
        </w:rPr>
        <w:t>The following table presents components of nonqualified deferred compensation under the Executive Deferred Compensation Plan for each Named Executive Officer.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40" w:type="dxa"/>
            <w:vAlign w:val="bottom"/>
          </w:tcPr>
          <w:p>
            <w:pPr>
              <w:spacing w:after="0"/>
              <w:rPr>
                <w:sz w:val="15"/>
                <w:szCs w:val="15"/>
                <w:color w:val="auto"/>
              </w:rPr>
            </w:pPr>
          </w:p>
        </w:tc>
        <w:tc>
          <w:tcPr>
            <w:tcW w:w="17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Executive Officer</w:t>
            </w:r>
          </w:p>
        </w:tc>
        <w:tc>
          <w:tcPr>
            <w:tcW w:w="1620" w:type="dxa"/>
            <w:vAlign w:val="bottom"/>
          </w:tcPr>
          <w:p>
            <w:pPr>
              <w:spacing w:after="0"/>
              <w:rPr>
                <w:sz w:val="15"/>
                <w:szCs w:val="15"/>
                <w:color w:val="auto"/>
              </w:rPr>
            </w:pPr>
          </w:p>
        </w:tc>
        <w:tc>
          <w:tcPr>
            <w:tcW w:w="17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Aggregate</w:t>
            </w:r>
          </w:p>
        </w:tc>
        <w:tc>
          <w:tcPr>
            <w:tcW w:w="1600" w:type="dxa"/>
            <w:vAlign w:val="bottom"/>
          </w:tcPr>
          <w:p>
            <w:pPr>
              <w:jc w:val="center"/>
              <w:spacing w:after="0"/>
              <w:rPr>
                <w:sz w:val="20"/>
                <w:szCs w:val="20"/>
                <w:color w:val="auto"/>
              </w:rPr>
            </w:pPr>
            <w:r>
              <w:rPr>
                <w:rFonts w:ascii="Arial" w:cs="Arial" w:eastAsia="Arial" w:hAnsi="Arial"/>
                <w:sz w:val="15"/>
                <w:szCs w:val="15"/>
                <w:b w:val="1"/>
                <w:bCs w:val="1"/>
                <w:color w:val="auto"/>
              </w:rPr>
              <w:t>Aggregate</w:t>
            </w:r>
          </w:p>
        </w:tc>
        <w:tc>
          <w:tcPr>
            <w:tcW w:w="17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Aggregate Balance</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62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rPr>
              <w:t>Company</w:t>
            </w:r>
          </w:p>
        </w:tc>
        <w:tc>
          <w:tcPr>
            <w:tcW w:w="1720" w:type="dxa"/>
            <w:vAlign w:val="bottom"/>
            <w:vMerge w:val="continue"/>
          </w:tcPr>
          <w:p>
            <w:pPr>
              <w:spacing w:after="0"/>
              <w:rPr>
                <w:sz w:val="13"/>
                <w:szCs w:val="13"/>
                <w:color w:val="auto"/>
              </w:rPr>
            </w:pPr>
          </w:p>
        </w:tc>
        <w:tc>
          <w:tcPr>
            <w:tcW w:w="160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rPr>
              <w:t>Withdrawals and</w:t>
            </w: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4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rPr>
              <w:t>Contributions in</w:t>
            </w: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rPr>
              <w:t>Contributions in</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rPr>
              <w:t>Earnings in Fiscal</w:t>
            </w:r>
          </w:p>
        </w:tc>
        <w:tc>
          <w:tcPr>
            <w:tcW w:w="1600" w:type="dxa"/>
            <w:vAlign w:val="bottom"/>
          </w:tcPr>
          <w:p>
            <w:pPr>
              <w:jc w:val="center"/>
              <w:spacing w:after="0"/>
              <w:rPr>
                <w:sz w:val="20"/>
                <w:szCs w:val="20"/>
                <w:color w:val="auto"/>
              </w:rPr>
            </w:pPr>
            <w:r>
              <w:rPr>
                <w:rFonts w:ascii="Arial" w:cs="Arial" w:eastAsia="Arial" w:hAnsi="Arial"/>
                <w:sz w:val="15"/>
                <w:szCs w:val="15"/>
                <w:b w:val="1"/>
                <w:bCs w:val="1"/>
                <w:color w:val="auto"/>
              </w:rPr>
              <w:t>Distributions in</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rPr>
              <w:t>at December 31,</w:t>
            </w:r>
          </w:p>
        </w:tc>
        <w:tc>
          <w:tcPr>
            <w:tcW w:w="0" w:type="dxa"/>
            <w:vAlign w:val="bottom"/>
          </w:tcPr>
          <w:p>
            <w:pPr>
              <w:spacing w:after="0"/>
              <w:rPr>
                <w:sz w:val="1"/>
                <w:szCs w:val="1"/>
                <w:color w:val="auto"/>
              </w:rPr>
            </w:pPr>
          </w:p>
        </w:tc>
      </w:tr>
      <w:tr>
        <w:trPr>
          <w:trHeight w:val="192"/>
        </w:trPr>
        <w:tc>
          <w:tcPr>
            <w:tcW w:w="1640" w:type="dxa"/>
            <w:vAlign w:val="bottom"/>
          </w:tcPr>
          <w:p>
            <w:pPr>
              <w:spacing w:after="0"/>
              <w:rPr>
                <w:sz w:val="16"/>
                <w:szCs w:val="16"/>
                <w:color w:val="auto"/>
              </w:rPr>
            </w:pPr>
          </w:p>
        </w:tc>
        <w:tc>
          <w:tcPr>
            <w:tcW w:w="172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rPr>
              <w:t>Fiscal 2025</w:t>
            </w:r>
            <w:r>
              <w:rPr>
                <w:rFonts w:ascii="Arial" w:cs="Arial" w:eastAsia="Arial" w:hAnsi="Arial"/>
                <w:sz w:val="22"/>
                <w:szCs w:val="22"/>
                <w:b w:val="1"/>
                <w:bCs w:val="1"/>
                <w:color w:val="auto"/>
                <w:vertAlign w:val="superscript"/>
              </w:rPr>
              <w:t>(1)</w:t>
            </w: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rPr>
              <w:t>Fiscal 2025</w:t>
            </w:r>
          </w:p>
        </w:tc>
        <w:tc>
          <w:tcPr>
            <w:tcW w:w="172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rPr>
              <w:t>2025</w:t>
            </w:r>
            <w:r>
              <w:rPr>
                <w:rFonts w:ascii="Arial" w:cs="Arial" w:eastAsia="Arial" w:hAnsi="Arial"/>
                <w:sz w:val="22"/>
                <w:szCs w:val="22"/>
                <w:b w:val="1"/>
                <w:bCs w:val="1"/>
                <w:color w:val="auto"/>
                <w:vertAlign w:val="superscript"/>
              </w:rPr>
              <w:t>(2)</w:t>
            </w:r>
          </w:p>
        </w:tc>
        <w:tc>
          <w:tcPr>
            <w:tcW w:w="1600" w:type="dxa"/>
            <w:vAlign w:val="bottom"/>
          </w:tcPr>
          <w:p>
            <w:pPr>
              <w:jc w:val="center"/>
              <w:spacing w:after="0"/>
              <w:rPr>
                <w:sz w:val="20"/>
                <w:szCs w:val="20"/>
                <w:color w:val="auto"/>
              </w:rPr>
            </w:pPr>
            <w:r>
              <w:rPr>
                <w:rFonts w:ascii="Arial" w:cs="Arial" w:eastAsia="Arial" w:hAnsi="Arial"/>
                <w:sz w:val="15"/>
                <w:szCs w:val="15"/>
                <w:b w:val="1"/>
                <w:bCs w:val="1"/>
                <w:color w:val="auto"/>
              </w:rPr>
              <w:t>Fiscal 2025</w:t>
            </w:r>
          </w:p>
        </w:tc>
        <w:tc>
          <w:tcPr>
            <w:tcW w:w="172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rPr>
              <w:t>2025</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91"/>
        </w:trPr>
        <w:tc>
          <w:tcPr>
            <w:tcW w:w="1640" w:type="dxa"/>
            <w:vAlign w:val="bottom"/>
            <w:tcBorders>
              <w:bottom w:val="single" w:sz="8" w:color="auto"/>
            </w:tcBorders>
          </w:tcPr>
          <w:p>
            <w:pPr>
              <w:ind w:left="620"/>
              <w:spacing w:after="0"/>
              <w:rPr>
                <w:sz w:val="20"/>
                <w:szCs w:val="20"/>
                <w:color w:val="auto"/>
              </w:rPr>
            </w:pPr>
            <w:r>
              <w:rPr>
                <w:rFonts w:ascii="Arial" w:cs="Arial" w:eastAsia="Arial" w:hAnsi="Arial"/>
                <w:sz w:val="15"/>
                <w:szCs w:val="15"/>
                <w:b w:val="1"/>
                <w:bCs w:val="1"/>
                <w:color w:val="auto"/>
              </w:rPr>
              <w:t>Name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0" w:type="dxa"/>
            <w:vAlign w:val="bottom"/>
          </w:tcPr>
          <w:p>
            <w:pPr>
              <w:spacing w:after="0"/>
              <w:rPr>
                <w:sz w:val="1"/>
                <w:szCs w:val="1"/>
                <w:color w:val="auto"/>
              </w:rPr>
            </w:pPr>
          </w:p>
        </w:tc>
      </w:tr>
      <w:tr>
        <w:trPr>
          <w:trHeight w:val="142"/>
        </w:trPr>
        <w:tc>
          <w:tcPr>
            <w:tcW w:w="1640" w:type="dxa"/>
            <w:vAlign w:val="bottom"/>
          </w:tcPr>
          <w:p>
            <w:pPr>
              <w:ind w:left="780"/>
              <w:spacing w:after="0"/>
              <w:rPr>
                <w:sz w:val="20"/>
                <w:szCs w:val="20"/>
                <w:color w:val="auto"/>
              </w:rPr>
            </w:pPr>
            <w:r>
              <w:rPr>
                <w:rFonts w:ascii="Arial" w:cs="Arial" w:eastAsia="Arial" w:hAnsi="Arial"/>
                <w:sz w:val="9"/>
                <w:szCs w:val="9"/>
                <w:b w:val="1"/>
                <w:bCs w:val="1"/>
                <w:color w:val="auto"/>
              </w:rPr>
              <w:t>(a)</w:t>
            </w:r>
          </w:p>
        </w:tc>
        <w:tc>
          <w:tcPr>
            <w:tcW w:w="1720" w:type="dxa"/>
            <w:vAlign w:val="bottom"/>
          </w:tcPr>
          <w:p>
            <w:pPr>
              <w:jc w:val="center"/>
              <w:spacing w:after="0"/>
              <w:rPr>
                <w:sz w:val="20"/>
                <w:szCs w:val="20"/>
                <w:color w:val="auto"/>
              </w:rPr>
            </w:pPr>
            <w:r>
              <w:rPr>
                <w:rFonts w:ascii="Arial" w:cs="Arial" w:eastAsia="Arial" w:hAnsi="Arial"/>
                <w:sz w:val="9"/>
                <w:szCs w:val="9"/>
                <w:b w:val="1"/>
                <w:bCs w:val="1"/>
                <w:color w:val="auto"/>
              </w:rPr>
              <w:t>(b)</w:t>
            </w:r>
          </w:p>
        </w:tc>
        <w:tc>
          <w:tcPr>
            <w:tcW w:w="1620" w:type="dxa"/>
            <w:vAlign w:val="bottom"/>
          </w:tcPr>
          <w:p>
            <w:pPr>
              <w:jc w:val="center"/>
              <w:spacing w:after="0"/>
              <w:rPr>
                <w:sz w:val="20"/>
                <w:szCs w:val="20"/>
                <w:color w:val="auto"/>
              </w:rPr>
            </w:pPr>
            <w:r>
              <w:rPr>
                <w:rFonts w:ascii="Arial" w:cs="Arial" w:eastAsia="Arial" w:hAnsi="Arial"/>
                <w:sz w:val="9"/>
                <w:szCs w:val="9"/>
                <w:b w:val="1"/>
                <w:bCs w:val="1"/>
                <w:color w:val="auto"/>
              </w:rPr>
              <w:t>(c)</w:t>
            </w:r>
          </w:p>
        </w:tc>
        <w:tc>
          <w:tcPr>
            <w:tcW w:w="1720" w:type="dxa"/>
            <w:vAlign w:val="bottom"/>
          </w:tcPr>
          <w:p>
            <w:pPr>
              <w:jc w:val="center"/>
              <w:spacing w:after="0"/>
              <w:rPr>
                <w:sz w:val="20"/>
                <w:szCs w:val="20"/>
                <w:color w:val="auto"/>
              </w:rPr>
            </w:pPr>
            <w:r>
              <w:rPr>
                <w:rFonts w:ascii="Arial" w:cs="Arial" w:eastAsia="Arial" w:hAnsi="Arial"/>
                <w:sz w:val="9"/>
                <w:szCs w:val="9"/>
                <w:b w:val="1"/>
                <w:bCs w:val="1"/>
                <w:color w:val="auto"/>
              </w:rPr>
              <w:t>(d)</w:t>
            </w:r>
          </w:p>
        </w:tc>
        <w:tc>
          <w:tcPr>
            <w:tcW w:w="1600" w:type="dxa"/>
            <w:vAlign w:val="bottom"/>
          </w:tcPr>
          <w:p>
            <w:pPr>
              <w:jc w:val="center"/>
              <w:spacing w:after="0"/>
              <w:rPr>
                <w:sz w:val="20"/>
                <w:szCs w:val="20"/>
                <w:color w:val="auto"/>
              </w:rPr>
            </w:pPr>
            <w:r>
              <w:rPr>
                <w:rFonts w:ascii="Arial" w:cs="Arial" w:eastAsia="Arial" w:hAnsi="Arial"/>
                <w:sz w:val="9"/>
                <w:szCs w:val="9"/>
                <w:b w:val="1"/>
                <w:bCs w:val="1"/>
                <w:color w:val="auto"/>
              </w:rPr>
              <w:t>(e)</w:t>
            </w:r>
          </w:p>
        </w:tc>
        <w:tc>
          <w:tcPr>
            <w:tcW w:w="1720" w:type="dxa"/>
            <w:vAlign w:val="bottom"/>
          </w:tcPr>
          <w:p>
            <w:pPr>
              <w:jc w:val="center"/>
              <w:spacing w:after="0"/>
              <w:rPr>
                <w:sz w:val="20"/>
                <w:szCs w:val="20"/>
                <w:color w:val="auto"/>
              </w:rPr>
            </w:pPr>
            <w:r>
              <w:rPr>
                <w:rFonts w:ascii="Arial" w:cs="Arial" w:eastAsia="Arial" w:hAnsi="Arial"/>
                <w:sz w:val="9"/>
                <w:szCs w:val="9"/>
                <w:b w:val="1"/>
                <w:bCs w:val="1"/>
                <w:color w:val="auto"/>
              </w:rPr>
              <w:t>(f)</w:t>
            </w:r>
          </w:p>
        </w:tc>
        <w:tc>
          <w:tcPr>
            <w:tcW w:w="0" w:type="dxa"/>
            <w:vAlign w:val="bottom"/>
          </w:tcPr>
          <w:p>
            <w:pPr>
              <w:spacing w:after="0"/>
              <w:rPr>
                <w:sz w:val="1"/>
                <w:szCs w:val="1"/>
                <w:color w:val="auto"/>
              </w:rPr>
            </w:pPr>
          </w:p>
        </w:tc>
      </w:tr>
      <w:tr>
        <w:trPr>
          <w:trHeight w:val="36"/>
        </w:trPr>
        <w:tc>
          <w:tcPr>
            <w:tcW w:w="16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1640" w:type="dxa"/>
            <w:vAlign w:val="bottom"/>
            <w:shd w:val="clear" w:color="auto" w:fill="DFE4EA"/>
          </w:tcPr>
          <w:p>
            <w:pPr>
              <w:ind w:left="40"/>
              <w:spacing w:after="0"/>
              <w:rPr>
                <w:sz w:val="20"/>
                <w:szCs w:val="20"/>
                <w:color w:val="auto"/>
              </w:rPr>
            </w:pPr>
            <w:r>
              <w:rPr>
                <w:rFonts w:ascii="Arial" w:cs="Arial" w:eastAsia="Arial" w:hAnsi="Arial"/>
                <w:sz w:val="15"/>
                <w:szCs w:val="15"/>
                <w:color w:val="auto"/>
              </w:rPr>
              <w:t>J. Patrick Mackin</w:t>
            </w:r>
          </w:p>
        </w:tc>
        <w:tc>
          <w:tcPr>
            <w:tcW w:w="17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c>
          <w:tcPr>
            <w:tcW w:w="16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c>
          <w:tcPr>
            <w:tcW w:w="17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c>
          <w:tcPr>
            <w:tcW w:w="16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c>
          <w:tcPr>
            <w:tcW w:w="17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1640" w:type="dxa"/>
            <w:vAlign w:val="bottom"/>
          </w:tcPr>
          <w:p>
            <w:pPr>
              <w:ind w:left="40"/>
              <w:spacing w:after="0"/>
              <w:rPr>
                <w:sz w:val="20"/>
                <w:szCs w:val="20"/>
                <w:color w:val="auto"/>
              </w:rPr>
            </w:pPr>
            <w:r>
              <w:rPr>
                <w:rFonts w:ascii="Arial" w:cs="Arial" w:eastAsia="Arial" w:hAnsi="Arial"/>
                <w:sz w:val="15"/>
                <w:szCs w:val="15"/>
                <w:color w:val="auto"/>
              </w:rPr>
              <w:t>Lance A. Berry</w:t>
            </w:r>
          </w:p>
        </w:tc>
        <w:tc>
          <w:tcPr>
            <w:tcW w:w="1720" w:type="dxa"/>
            <w:vAlign w:val="bottom"/>
          </w:tcPr>
          <w:p>
            <w:pPr>
              <w:jc w:val="center"/>
              <w:spacing w:after="0"/>
              <w:rPr>
                <w:sz w:val="20"/>
                <w:szCs w:val="20"/>
                <w:color w:val="auto"/>
              </w:rPr>
            </w:pPr>
            <w:r>
              <w:rPr>
                <w:rFonts w:ascii="Arial" w:cs="Arial" w:eastAsia="Arial" w:hAnsi="Arial"/>
                <w:sz w:val="15"/>
                <w:szCs w:val="15"/>
                <w:color w:val="auto"/>
              </w:rPr>
              <w:t>—</w:t>
            </w:r>
          </w:p>
        </w:tc>
        <w:tc>
          <w:tcPr>
            <w:tcW w:w="1620" w:type="dxa"/>
            <w:vAlign w:val="bottom"/>
          </w:tcPr>
          <w:p>
            <w:pPr>
              <w:jc w:val="center"/>
              <w:spacing w:after="0"/>
              <w:rPr>
                <w:sz w:val="20"/>
                <w:szCs w:val="20"/>
                <w:color w:val="auto"/>
              </w:rPr>
            </w:pPr>
            <w:r>
              <w:rPr>
                <w:rFonts w:ascii="Arial" w:cs="Arial" w:eastAsia="Arial" w:hAnsi="Arial"/>
                <w:sz w:val="15"/>
                <w:szCs w:val="15"/>
                <w:color w:val="auto"/>
              </w:rPr>
              <w:t>—</w:t>
            </w:r>
          </w:p>
        </w:tc>
        <w:tc>
          <w:tcPr>
            <w:tcW w:w="1720" w:type="dxa"/>
            <w:vAlign w:val="bottom"/>
          </w:tcPr>
          <w:p>
            <w:pPr>
              <w:jc w:val="center"/>
              <w:spacing w:after="0"/>
              <w:rPr>
                <w:sz w:val="20"/>
                <w:szCs w:val="20"/>
                <w:color w:val="auto"/>
              </w:rPr>
            </w:pPr>
            <w:r>
              <w:rPr>
                <w:rFonts w:ascii="Arial" w:cs="Arial" w:eastAsia="Arial" w:hAnsi="Arial"/>
                <w:sz w:val="15"/>
                <w:szCs w:val="15"/>
                <w:color w:val="auto"/>
              </w:rPr>
              <w:t>—</w:t>
            </w:r>
          </w:p>
        </w:tc>
        <w:tc>
          <w:tcPr>
            <w:tcW w:w="1600" w:type="dxa"/>
            <w:vAlign w:val="bottom"/>
          </w:tcPr>
          <w:p>
            <w:pPr>
              <w:jc w:val="center"/>
              <w:spacing w:after="0"/>
              <w:rPr>
                <w:sz w:val="20"/>
                <w:szCs w:val="20"/>
                <w:color w:val="auto"/>
              </w:rPr>
            </w:pPr>
            <w:r>
              <w:rPr>
                <w:rFonts w:ascii="Arial" w:cs="Arial" w:eastAsia="Arial" w:hAnsi="Arial"/>
                <w:sz w:val="15"/>
                <w:szCs w:val="15"/>
                <w:color w:val="auto"/>
              </w:rPr>
              <w:t>—</w:t>
            </w:r>
          </w:p>
        </w:tc>
        <w:tc>
          <w:tcPr>
            <w:tcW w:w="172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1640" w:type="dxa"/>
            <w:vAlign w:val="bottom"/>
            <w:shd w:val="clear" w:color="auto" w:fill="DFE4EA"/>
          </w:tcPr>
          <w:p>
            <w:pPr>
              <w:ind w:left="40"/>
              <w:spacing w:after="0"/>
              <w:rPr>
                <w:sz w:val="20"/>
                <w:szCs w:val="20"/>
                <w:color w:val="auto"/>
              </w:rPr>
            </w:pPr>
            <w:r>
              <w:rPr>
                <w:rFonts w:ascii="Arial" w:cs="Arial" w:eastAsia="Arial" w:hAnsi="Arial"/>
                <w:sz w:val="15"/>
                <w:szCs w:val="15"/>
                <w:color w:val="auto"/>
              </w:rPr>
              <w:t>Jean F. Holloway</w:t>
            </w:r>
          </w:p>
        </w:tc>
        <w:tc>
          <w:tcPr>
            <w:tcW w:w="17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c>
          <w:tcPr>
            <w:tcW w:w="16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c>
          <w:tcPr>
            <w:tcW w:w="17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103,385</w:t>
            </w:r>
          </w:p>
        </w:tc>
        <w:tc>
          <w:tcPr>
            <w:tcW w:w="16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c>
          <w:tcPr>
            <w:tcW w:w="17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1,588,916</w:t>
            </w:r>
          </w:p>
        </w:tc>
        <w:tc>
          <w:tcPr>
            <w:tcW w:w="0" w:type="dxa"/>
            <w:vAlign w:val="bottom"/>
          </w:tcPr>
          <w:p>
            <w:pPr>
              <w:spacing w:after="0"/>
              <w:rPr>
                <w:sz w:val="1"/>
                <w:szCs w:val="1"/>
                <w:color w:val="auto"/>
              </w:rPr>
            </w:pPr>
          </w:p>
        </w:tc>
      </w:tr>
      <w:tr>
        <w:trPr>
          <w:trHeight w:val="216"/>
        </w:trPr>
        <w:tc>
          <w:tcPr>
            <w:tcW w:w="1640" w:type="dxa"/>
            <w:vAlign w:val="bottom"/>
          </w:tcPr>
          <w:p>
            <w:pPr>
              <w:ind w:left="40"/>
              <w:spacing w:after="0"/>
              <w:rPr>
                <w:sz w:val="20"/>
                <w:szCs w:val="20"/>
                <w:color w:val="auto"/>
              </w:rPr>
            </w:pPr>
            <w:r>
              <w:rPr>
                <w:rFonts w:ascii="Arial" w:cs="Arial" w:eastAsia="Arial" w:hAnsi="Arial"/>
                <w:sz w:val="15"/>
                <w:szCs w:val="15"/>
                <w:color w:val="auto"/>
              </w:rPr>
              <w:t>John E. Davis</w:t>
            </w:r>
          </w:p>
        </w:tc>
        <w:tc>
          <w:tcPr>
            <w:tcW w:w="1720" w:type="dxa"/>
            <w:vAlign w:val="bottom"/>
          </w:tcPr>
          <w:p>
            <w:pPr>
              <w:jc w:val="center"/>
              <w:spacing w:after="0"/>
              <w:rPr>
                <w:sz w:val="20"/>
                <w:szCs w:val="20"/>
                <w:color w:val="auto"/>
              </w:rPr>
            </w:pPr>
            <w:r>
              <w:rPr>
                <w:rFonts w:ascii="Arial" w:cs="Arial" w:eastAsia="Arial" w:hAnsi="Arial"/>
                <w:sz w:val="15"/>
                <w:szCs w:val="15"/>
                <w:color w:val="auto"/>
              </w:rPr>
              <w:t>—</w:t>
            </w:r>
          </w:p>
        </w:tc>
        <w:tc>
          <w:tcPr>
            <w:tcW w:w="1620" w:type="dxa"/>
            <w:vAlign w:val="bottom"/>
          </w:tcPr>
          <w:p>
            <w:pPr>
              <w:jc w:val="center"/>
              <w:spacing w:after="0"/>
              <w:rPr>
                <w:sz w:val="20"/>
                <w:szCs w:val="20"/>
                <w:color w:val="auto"/>
              </w:rPr>
            </w:pPr>
            <w:r>
              <w:rPr>
                <w:rFonts w:ascii="Arial" w:cs="Arial" w:eastAsia="Arial" w:hAnsi="Arial"/>
                <w:sz w:val="15"/>
                <w:szCs w:val="15"/>
                <w:color w:val="auto"/>
              </w:rPr>
              <w:t>—</w:t>
            </w:r>
          </w:p>
        </w:tc>
        <w:tc>
          <w:tcPr>
            <w:tcW w:w="1720" w:type="dxa"/>
            <w:vAlign w:val="bottom"/>
          </w:tcPr>
          <w:p>
            <w:pPr>
              <w:jc w:val="center"/>
              <w:spacing w:after="0"/>
              <w:rPr>
                <w:sz w:val="20"/>
                <w:szCs w:val="20"/>
                <w:color w:val="auto"/>
              </w:rPr>
            </w:pPr>
            <w:r>
              <w:rPr>
                <w:rFonts w:ascii="Arial" w:cs="Arial" w:eastAsia="Arial" w:hAnsi="Arial"/>
                <w:sz w:val="15"/>
                <w:szCs w:val="15"/>
                <w:color w:val="auto"/>
                <w:w w:val="99"/>
              </w:rPr>
              <w:t>117,039</w:t>
            </w:r>
          </w:p>
        </w:tc>
        <w:tc>
          <w:tcPr>
            <w:tcW w:w="1600" w:type="dxa"/>
            <w:vAlign w:val="bottom"/>
          </w:tcPr>
          <w:p>
            <w:pPr>
              <w:jc w:val="center"/>
              <w:spacing w:after="0"/>
              <w:rPr>
                <w:sz w:val="20"/>
                <w:szCs w:val="20"/>
                <w:color w:val="auto"/>
              </w:rPr>
            </w:pPr>
            <w:r>
              <w:rPr>
                <w:rFonts w:ascii="Arial" w:cs="Arial" w:eastAsia="Arial" w:hAnsi="Arial"/>
                <w:sz w:val="15"/>
                <w:szCs w:val="15"/>
                <w:color w:val="auto"/>
              </w:rPr>
              <w:t>—</w:t>
            </w:r>
          </w:p>
        </w:tc>
        <w:tc>
          <w:tcPr>
            <w:tcW w:w="1720" w:type="dxa"/>
            <w:vAlign w:val="bottom"/>
          </w:tcPr>
          <w:p>
            <w:pPr>
              <w:jc w:val="center"/>
              <w:spacing w:after="0"/>
              <w:rPr>
                <w:sz w:val="20"/>
                <w:szCs w:val="20"/>
                <w:color w:val="auto"/>
              </w:rPr>
            </w:pPr>
            <w:r>
              <w:rPr>
                <w:rFonts w:ascii="Arial" w:cs="Arial" w:eastAsia="Arial" w:hAnsi="Arial"/>
                <w:sz w:val="15"/>
                <w:szCs w:val="15"/>
                <w:color w:val="auto"/>
              </w:rPr>
              <w:t>864,719</w:t>
            </w:r>
          </w:p>
        </w:tc>
        <w:tc>
          <w:tcPr>
            <w:tcW w:w="0" w:type="dxa"/>
            <w:vAlign w:val="bottom"/>
          </w:tcPr>
          <w:p>
            <w:pPr>
              <w:spacing w:after="0"/>
              <w:rPr>
                <w:sz w:val="1"/>
                <w:szCs w:val="1"/>
                <w:color w:val="auto"/>
              </w:rPr>
            </w:pPr>
          </w:p>
        </w:tc>
      </w:tr>
      <w:tr>
        <w:trPr>
          <w:trHeight w:val="224"/>
        </w:trPr>
        <w:tc>
          <w:tcPr>
            <w:tcW w:w="1640" w:type="dxa"/>
            <w:vAlign w:val="bottom"/>
            <w:shd w:val="clear" w:color="auto" w:fill="DFE4EA"/>
          </w:tcPr>
          <w:p>
            <w:pPr>
              <w:ind w:left="40"/>
              <w:spacing w:after="0"/>
              <w:rPr>
                <w:sz w:val="20"/>
                <w:szCs w:val="20"/>
                <w:color w:val="auto"/>
              </w:rPr>
            </w:pPr>
            <w:r>
              <w:rPr>
                <w:rFonts w:ascii="Arial" w:cs="Arial" w:eastAsia="Arial" w:hAnsi="Arial"/>
                <w:sz w:val="15"/>
                <w:szCs w:val="15"/>
                <w:color w:val="auto"/>
              </w:rPr>
              <w:t>Marshall S. Stanton</w:t>
            </w:r>
          </w:p>
        </w:tc>
        <w:tc>
          <w:tcPr>
            <w:tcW w:w="17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199,677</w:t>
            </w:r>
          </w:p>
        </w:tc>
        <w:tc>
          <w:tcPr>
            <w:tcW w:w="16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c>
          <w:tcPr>
            <w:tcW w:w="17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62,521</w:t>
            </w:r>
          </w:p>
        </w:tc>
        <w:tc>
          <w:tcPr>
            <w:tcW w:w="16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c>
          <w:tcPr>
            <w:tcW w:w="17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825,890</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220" w:hanging="219"/>
        <w:spacing w:after="0" w:line="200" w:lineRule="auto"/>
        <w:tabs>
          <w:tab w:leader="none" w:pos="22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Contributions to the deferred compensation plan that relate to an executive officer’s deferrals from salary and/or annual short-term incentives are included in the amounts reflected in the “Salary” and “Bonus” columns, as applicable, of the Summary Compensation Table for fiscal 2025 on page 42.</w:t>
      </w:r>
    </w:p>
    <w:p>
      <w:pPr>
        <w:spacing w:after="0" w:line="118"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A participant’s account under the Executive Deferred Compensation Plan is deemed to be invested in hypothetical investment options selected by the participant from among a menu of non-proprietary mutual funds. The account is credited/debited with gains and/or losses linked to the performance of those hypothetical investment options. The plan does not have investment options that provide for above-market or preferential earnings; accordingly, the amounts provided in this column are not included in column (h) of the Summary Compensation Table for fiscal 2025 on page 42.</w:t>
      </w:r>
    </w:p>
    <w:p>
      <w:pPr>
        <w:spacing w:after="0" w:line="120" w:lineRule="exact"/>
        <w:rPr>
          <w:rFonts w:ascii="Arial" w:cs="Arial" w:eastAsia="Arial" w:hAnsi="Arial"/>
          <w:sz w:val="22"/>
          <w:szCs w:val="22"/>
          <w:color w:val="auto"/>
          <w:vertAlign w:val="superscript"/>
        </w:rPr>
      </w:pPr>
    </w:p>
    <w:p>
      <w:pPr>
        <w:jc w:val="both"/>
        <w:ind w:left="220" w:hanging="219"/>
        <w:spacing w:after="0" w:line="223" w:lineRule="auto"/>
        <w:tabs>
          <w:tab w:leader="none" w:pos="22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Amounts shown include the executive officer’s contributions, withdrawals, and associated hypothetical gains/losses during 2025, as well as deferrals of salary and annual incentives (together with associated hypothetical earnings) from prior years’ participation in the plan. The amounts shown in this column, with the exception of aggregate earnings, have been reported in the “Salary” and “Bonus” columns, as applicable, of the Summary Compensation Table of prior year Company Proxy Statements, if the individuals were listed as NEOs in those prior year periods. The total year prior contributions to the Executive Deferred Compensation Plan are as noted in the table below.</w:t>
      </w:r>
    </w:p>
    <w:p>
      <w:pPr>
        <w:spacing w:after="0" w:line="113" w:lineRule="exact"/>
        <w:rPr>
          <w:sz w:val="20"/>
          <w:szCs w:val="20"/>
          <w:color w:val="auto"/>
        </w:rPr>
      </w:pPr>
    </w:p>
    <w:tbl>
      <w:tblPr>
        <w:tblLayout w:type="fixed"/>
        <w:tblInd w:w="174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60" w:type="dxa"/>
            <w:vAlign w:val="bottom"/>
            <w:gridSpan w:val="2"/>
          </w:tcPr>
          <w:p>
            <w:pPr>
              <w:jc w:val="center"/>
              <w:ind w:right="760"/>
              <w:spacing w:after="0"/>
              <w:rPr>
                <w:sz w:val="20"/>
                <w:szCs w:val="20"/>
                <w:color w:val="auto"/>
              </w:rPr>
            </w:pPr>
            <w:r>
              <w:rPr>
                <w:rFonts w:ascii="Arial" w:cs="Arial" w:eastAsia="Arial" w:hAnsi="Arial"/>
                <w:sz w:val="15"/>
                <w:szCs w:val="15"/>
                <w:b w:val="1"/>
                <w:bCs w:val="1"/>
                <w:color w:val="auto"/>
              </w:rPr>
              <w:t>Amount</w:t>
            </w:r>
          </w:p>
        </w:tc>
      </w:tr>
      <w:tr>
        <w:trPr>
          <w:trHeight w:val="174"/>
        </w:trPr>
        <w:tc>
          <w:tcPr>
            <w:tcW w:w="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60" w:type="dxa"/>
            <w:vAlign w:val="bottom"/>
            <w:gridSpan w:val="2"/>
          </w:tcPr>
          <w:p>
            <w:pPr>
              <w:jc w:val="center"/>
              <w:ind w:right="760"/>
              <w:spacing w:after="0"/>
              <w:rPr>
                <w:sz w:val="20"/>
                <w:szCs w:val="20"/>
                <w:color w:val="auto"/>
              </w:rPr>
            </w:pPr>
            <w:r>
              <w:rPr>
                <w:rFonts w:ascii="Arial" w:cs="Arial" w:eastAsia="Arial" w:hAnsi="Arial"/>
                <w:sz w:val="15"/>
                <w:szCs w:val="15"/>
                <w:b w:val="1"/>
                <w:bCs w:val="1"/>
                <w:color w:val="auto"/>
              </w:rPr>
              <w:t>Previously</w:t>
            </w:r>
          </w:p>
        </w:tc>
      </w:tr>
      <w:tr>
        <w:trPr>
          <w:trHeight w:val="174"/>
        </w:trPr>
        <w:tc>
          <w:tcPr>
            <w:tcW w:w="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60" w:type="dxa"/>
            <w:vAlign w:val="bottom"/>
            <w:gridSpan w:val="2"/>
          </w:tcPr>
          <w:p>
            <w:pPr>
              <w:jc w:val="center"/>
              <w:ind w:right="740"/>
              <w:spacing w:after="0"/>
              <w:rPr>
                <w:sz w:val="20"/>
                <w:szCs w:val="20"/>
                <w:color w:val="auto"/>
              </w:rPr>
            </w:pPr>
            <w:r>
              <w:rPr>
                <w:rFonts w:ascii="Arial" w:cs="Arial" w:eastAsia="Arial" w:hAnsi="Arial"/>
                <w:sz w:val="15"/>
                <w:szCs w:val="15"/>
                <w:b w:val="1"/>
                <w:bCs w:val="1"/>
                <w:color w:val="auto"/>
              </w:rPr>
              <w:t>Reported</w:t>
            </w:r>
          </w:p>
        </w:tc>
      </w:tr>
      <w:tr>
        <w:trPr>
          <w:trHeight w:val="206"/>
        </w:trPr>
        <w:tc>
          <w:tcPr>
            <w:tcW w:w="160" w:type="dxa"/>
            <w:vAlign w:val="bottom"/>
          </w:tcPr>
          <w:p>
            <w:pPr>
              <w:spacing w:after="0"/>
              <w:rPr>
                <w:sz w:val="17"/>
                <w:szCs w:val="17"/>
                <w:color w:val="auto"/>
              </w:rPr>
            </w:pPr>
          </w:p>
        </w:tc>
        <w:tc>
          <w:tcPr>
            <w:tcW w:w="3720" w:type="dxa"/>
            <w:vAlign w:val="bottom"/>
            <w:tcBorders>
              <w:bottom w:val="single" w:sz="8" w:color="auto"/>
            </w:tcBorders>
          </w:tcPr>
          <w:p>
            <w:pPr>
              <w:ind w:left="1340"/>
              <w:spacing w:after="0"/>
              <w:rPr>
                <w:sz w:val="20"/>
                <w:szCs w:val="20"/>
                <w:color w:val="auto"/>
              </w:rPr>
            </w:pPr>
            <w:r>
              <w:rPr>
                <w:rFonts w:ascii="Arial" w:cs="Arial" w:eastAsia="Arial" w:hAnsi="Arial"/>
                <w:sz w:val="15"/>
                <w:szCs w:val="15"/>
                <w:b w:val="1"/>
                <w:bCs w:val="1"/>
                <w:color w:val="auto"/>
              </w:rPr>
              <w:t>Name</w:t>
            </w:r>
          </w:p>
        </w:tc>
        <w:tc>
          <w:tcPr>
            <w:tcW w:w="2500" w:type="dxa"/>
            <w:vAlign w:val="bottom"/>
            <w:tcBorders>
              <w:bottom w:val="single" w:sz="8" w:color="auto"/>
            </w:tcBorders>
          </w:tcPr>
          <w:p>
            <w:pPr>
              <w:jc w:val="center"/>
              <w:ind w:right="523"/>
              <w:spacing w:after="0"/>
              <w:rPr>
                <w:sz w:val="20"/>
                <w:szCs w:val="20"/>
                <w:color w:val="auto"/>
              </w:rPr>
            </w:pPr>
            <w:r>
              <w:rPr>
                <w:rFonts w:ascii="Arial" w:cs="Arial" w:eastAsia="Arial" w:hAnsi="Arial"/>
                <w:sz w:val="15"/>
                <w:szCs w:val="15"/>
                <w:b w:val="1"/>
                <w:bCs w:val="1"/>
                <w:color w:val="auto"/>
                <w:w w:val="97"/>
              </w:rPr>
              <w:t>($)</w:t>
            </w:r>
          </w:p>
        </w:tc>
        <w:tc>
          <w:tcPr>
            <w:tcW w:w="160" w:type="dxa"/>
            <w:vAlign w:val="bottom"/>
            <w:tcBorders>
              <w:bottom w:val="single" w:sz="8" w:color="auto"/>
            </w:tcBorders>
          </w:tcPr>
          <w:p>
            <w:pPr>
              <w:spacing w:after="0"/>
              <w:rPr>
                <w:sz w:val="17"/>
                <w:szCs w:val="17"/>
                <w:color w:val="auto"/>
              </w:rPr>
            </w:pPr>
          </w:p>
        </w:tc>
      </w:tr>
      <w:tr>
        <w:trPr>
          <w:trHeight w:val="220"/>
        </w:trPr>
        <w:tc>
          <w:tcPr>
            <w:tcW w:w="160" w:type="dxa"/>
            <w:vAlign w:val="bottom"/>
          </w:tcPr>
          <w:p>
            <w:pPr>
              <w:spacing w:after="0"/>
              <w:rPr>
                <w:sz w:val="19"/>
                <w:szCs w:val="19"/>
                <w:color w:val="auto"/>
              </w:rPr>
            </w:pPr>
          </w:p>
        </w:tc>
        <w:tc>
          <w:tcPr>
            <w:tcW w:w="3720" w:type="dxa"/>
            <w:vAlign w:val="bottom"/>
            <w:shd w:val="clear" w:color="auto" w:fill="DFE4EA"/>
          </w:tcPr>
          <w:p>
            <w:pPr>
              <w:ind w:left="40"/>
              <w:spacing w:after="0"/>
              <w:rPr>
                <w:sz w:val="20"/>
                <w:szCs w:val="20"/>
                <w:color w:val="auto"/>
              </w:rPr>
            </w:pPr>
            <w:r>
              <w:rPr>
                <w:rFonts w:ascii="Arial" w:cs="Arial" w:eastAsia="Arial" w:hAnsi="Arial"/>
                <w:sz w:val="15"/>
                <w:szCs w:val="15"/>
                <w:color w:val="auto"/>
              </w:rPr>
              <w:t>J. Patrick Mackin</w:t>
            </w:r>
          </w:p>
        </w:tc>
        <w:tc>
          <w:tcPr>
            <w:tcW w:w="2500" w:type="dxa"/>
            <w:vAlign w:val="bottom"/>
            <w:shd w:val="clear" w:color="auto" w:fill="DFE4EA"/>
          </w:tcPr>
          <w:p>
            <w:pPr>
              <w:jc w:val="center"/>
              <w:ind w:right="523"/>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3720" w:type="dxa"/>
            <w:vAlign w:val="bottom"/>
          </w:tcPr>
          <w:p>
            <w:pPr>
              <w:ind w:left="40"/>
              <w:spacing w:after="0"/>
              <w:rPr>
                <w:sz w:val="20"/>
                <w:szCs w:val="20"/>
                <w:color w:val="auto"/>
              </w:rPr>
            </w:pPr>
            <w:r>
              <w:rPr>
                <w:rFonts w:ascii="Arial" w:cs="Arial" w:eastAsia="Arial" w:hAnsi="Arial"/>
                <w:sz w:val="15"/>
                <w:szCs w:val="15"/>
                <w:color w:val="auto"/>
              </w:rPr>
              <w:t>Lance A. Berry</w:t>
            </w:r>
          </w:p>
        </w:tc>
        <w:tc>
          <w:tcPr>
            <w:tcW w:w="2660" w:type="dxa"/>
            <w:vAlign w:val="bottom"/>
            <w:gridSpan w:val="2"/>
          </w:tcPr>
          <w:p>
            <w:pPr>
              <w:jc w:val="center"/>
              <w:ind w:right="760"/>
              <w:spacing w:after="0"/>
              <w:rPr>
                <w:sz w:val="20"/>
                <w:szCs w:val="20"/>
                <w:color w:val="auto"/>
              </w:rPr>
            </w:pPr>
            <w:r>
              <w:rPr>
                <w:rFonts w:ascii="Arial" w:cs="Arial" w:eastAsia="Arial" w:hAnsi="Arial"/>
                <w:sz w:val="15"/>
                <w:szCs w:val="15"/>
                <w:color w:val="auto"/>
                <w:w w:val="93"/>
              </w:rPr>
              <w:t>—</w:t>
            </w:r>
          </w:p>
        </w:tc>
      </w:tr>
      <w:tr>
        <w:trPr>
          <w:trHeight w:val="224"/>
        </w:trPr>
        <w:tc>
          <w:tcPr>
            <w:tcW w:w="160" w:type="dxa"/>
            <w:vAlign w:val="bottom"/>
          </w:tcPr>
          <w:p>
            <w:pPr>
              <w:spacing w:after="0"/>
              <w:rPr>
                <w:sz w:val="19"/>
                <w:szCs w:val="19"/>
                <w:color w:val="auto"/>
              </w:rPr>
            </w:pPr>
          </w:p>
        </w:tc>
        <w:tc>
          <w:tcPr>
            <w:tcW w:w="3720" w:type="dxa"/>
            <w:vAlign w:val="bottom"/>
            <w:shd w:val="clear" w:color="auto" w:fill="DFE4EA"/>
          </w:tcPr>
          <w:p>
            <w:pPr>
              <w:ind w:left="40"/>
              <w:spacing w:after="0"/>
              <w:rPr>
                <w:sz w:val="20"/>
                <w:szCs w:val="20"/>
                <w:color w:val="auto"/>
              </w:rPr>
            </w:pPr>
            <w:r>
              <w:rPr>
                <w:rFonts w:ascii="Arial" w:cs="Arial" w:eastAsia="Arial" w:hAnsi="Arial"/>
                <w:sz w:val="15"/>
                <w:szCs w:val="15"/>
                <w:color w:val="auto"/>
              </w:rPr>
              <w:t>Jean F. Holloway</w:t>
            </w:r>
          </w:p>
        </w:tc>
        <w:tc>
          <w:tcPr>
            <w:tcW w:w="2500" w:type="dxa"/>
            <w:vAlign w:val="bottom"/>
            <w:shd w:val="clear" w:color="auto" w:fill="DFE4EA"/>
          </w:tcPr>
          <w:p>
            <w:pPr>
              <w:jc w:val="center"/>
              <w:ind w:right="523"/>
              <w:spacing w:after="0"/>
              <w:rPr>
                <w:sz w:val="20"/>
                <w:szCs w:val="20"/>
                <w:color w:val="auto"/>
              </w:rPr>
            </w:pPr>
            <w:r>
              <w:rPr>
                <w:rFonts w:ascii="Arial" w:cs="Arial" w:eastAsia="Arial" w:hAnsi="Arial"/>
                <w:sz w:val="15"/>
                <w:szCs w:val="15"/>
                <w:color w:val="auto"/>
              </w:rPr>
              <w:t>1,485,531</w:t>
            </w:r>
          </w:p>
        </w:tc>
        <w:tc>
          <w:tcPr>
            <w:tcW w:w="160" w:type="dxa"/>
            <w:vAlign w:val="bottom"/>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3720" w:type="dxa"/>
            <w:vAlign w:val="bottom"/>
          </w:tcPr>
          <w:p>
            <w:pPr>
              <w:ind w:left="40"/>
              <w:spacing w:after="0"/>
              <w:rPr>
                <w:sz w:val="20"/>
                <w:szCs w:val="20"/>
                <w:color w:val="auto"/>
              </w:rPr>
            </w:pPr>
            <w:r>
              <w:rPr>
                <w:rFonts w:ascii="Arial" w:cs="Arial" w:eastAsia="Arial" w:hAnsi="Arial"/>
                <w:sz w:val="15"/>
                <w:szCs w:val="15"/>
                <w:color w:val="auto"/>
              </w:rPr>
              <w:t>John E. Davis</w:t>
            </w:r>
          </w:p>
        </w:tc>
        <w:tc>
          <w:tcPr>
            <w:tcW w:w="2500" w:type="dxa"/>
            <w:vAlign w:val="bottom"/>
          </w:tcPr>
          <w:p>
            <w:pPr>
              <w:jc w:val="center"/>
              <w:ind w:right="503"/>
              <w:spacing w:after="0"/>
              <w:rPr>
                <w:sz w:val="20"/>
                <w:szCs w:val="20"/>
                <w:color w:val="auto"/>
              </w:rPr>
            </w:pPr>
            <w:r>
              <w:rPr>
                <w:rFonts w:ascii="Arial" w:cs="Arial" w:eastAsia="Arial" w:hAnsi="Arial"/>
                <w:sz w:val="15"/>
                <w:szCs w:val="15"/>
                <w:color w:val="auto"/>
              </w:rPr>
              <w:t>747,681</w:t>
            </w:r>
          </w:p>
        </w:tc>
        <w:tc>
          <w:tcPr>
            <w:tcW w:w="160" w:type="dxa"/>
            <w:vAlign w:val="bottom"/>
          </w:tcPr>
          <w:p>
            <w:pPr>
              <w:spacing w:after="0"/>
              <w:rPr>
                <w:sz w:val="18"/>
                <w:szCs w:val="18"/>
                <w:color w:val="auto"/>
              </w:rPr>
            </w:pPr>
          </w:p>
        </w:tc>
      </w:tr>
      <w:tr>
        <w:trPr>
          <w:trHeight w:val="224"/>
        </w:trPr>
        <w:tc>
          <w:tcPr>
            <w:tcW w:w="160" w:type="dxa"/>
            <w:vAlign w:val="bottom"/>
          </w:tcPr>
          <w:p>
            <w:pPr>
              <w:spacing w:after="0"/>
              <w:rPr>
                <w:sz w:val="19"/>
                <w:szCs w:val="19"/>
                <w:color w:val="auto"/>
              </w:rPr>
            </w:pPr>
          </w:p>
        </w:tc>
        <w:tc>
          <w:tcPr>
            <w:tcW w:w="3720" w:type="dxa"/>
            <w:vAlign w:val="bottom"/>
            <w:shd w:val="clear" w:color="auto" w:fill="DFE4EA"/>
          </w:tcPr>
          <w:p>
            <w:pPr>
              <w:ind w:left="40"/>
              <w:spacing w:after="0"/>
              <w:rPr>
                <w:sz w:val="20"/>
                <w:szCs w:val="20"/>
                <w:color w:val="auto"/>
              </w:rPr>
            </w:pPr>
            <w:r>
              <w:rPr>
                <w:rFonts w:ascii="Arial" w:cs="Arial" w:eastAsia="Arial" w:hAnsi="Arial"/>
                <w:sz w:val="15"/>
                <w:szCs w:val="15"/>
                <w:color w:val="auto"/>
              </w:rPr>
              <w:t>Marshall S. Stanton</w:t>
            </w:r>
          </w:p>
        </w:tc>
        <w:tc>
          <w:tcPr>
            <w:tcW w:w="2500" w:type="dxa"/>
            <w:vAlign w:val="bottom"/>
            <w:shd w:val="clear" w:color="auto" w:fill="DFE4EA"/>
          </w:tcPr>
          <w:p>
            <w:pPr>
              <w:jc w:val="center"/>
              <w:ind w:right="503"/>
              <w:spacing w:after="0"/>
              <w:rPr>
                <w:sz w:val="20"/>
                <w:szCs w:val="20"/>
                <w:color w:val="auto"/>
              </w:rPr>
            </w:pPr>
            <w:r>
              <w:rPr>
                <w:rFonts w:ascii="Arial" w:cs="Arial" w:eastAsia="Arial" w:hAnsi="Arial"/>
                <w:sz w:val="15"/>
                <w:szCs w:val="15"/>
                <w:color w:val="auto"/>
              </w:rPr>
              <w:t>563,692</w:t>
            </w:r>
          </w:p>
        </w:tc>
        <w:tc>
          <w:tcPr>
            <w:tcW w:w="160" w:type="dxa"/>
            <w:vAlign w:val="bottom"/>
          </w:tcPr>
          <w:p>
            <w:pPr>
              <w:spacing w:after="0"/>
              <w:rPr>
                <w:sz w:val="19"/>
                <w:szCs w:val="19"/>
                <w:color w:val="auto"/>
              </w:rPr>
            </w:pPr>
          </w:p>
        </w:tc>
      </w:tr>
      <w:tr>
        <w:trPr>
          <w:trHeight w:val="360"/>
        </w:trPr>
        <w:tc>
          <w:tcPr>
            <w:tcW w:w="16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gridSpan w:val="3"/>
          </w:tcPr>
          <w:p>
            <w:pPr>
              <w:ind w:left="940"/>
              <w:spacing w:after="0"/>
              <w:rPr>
                <w:sz w:val="20"/>
                <w:szCs w:val="20"/>
                <w:color w:val="auto"/>
              </w:rPr>
            </w:pPr>
            <w:r>
              <w:rPr>
                <w:rFonts w:ascii="Arial" w:cs="Arial" w:eastAsia="Arial" w:hAnsi="Arial"/>
                <w:sz w:val="15"/>
                <w:szCs w:val="15"/>
                <w:b w:val="1"/>
                <w:bCs w:val="1"/>
                <w:color w:val="auto"/>
              </w:rPr>
              <w:t>Investment Options Provided and Associated Return Rates</w:t>
            </w:r>
          </w:p>
        </w:tc>
      </w:tr>
      <w:tr>
        <w:trPr>
          <w:trHeight w:val="195"/>
        </w:trPr>
        <w:tc>
          <w:tcPr>
            <w:tcW w:w="1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60" w:type="dxa"/>
            <w:vAlign w:val="bottom"/>
            <w:gridSpan w:val="2"/>
          </w:tcPr>
          <w:p>
            <w:pPr>
              <w:jc w:val="center"/>
              <w:ind w:left="1323"/>
              <w:spacing w:after="0"/>
              <w:rPr>
                <w:sz w:val="20"/>
                <w:szCs w:val="20"/>
                <w:color w:val="auto"/>
              </w:rPr>
            </w:pPr>
            <w:r>
              <w:rPr>
                <w:rFonts w:ascii="Arial" w:cs="Arial" w:eastAsia="Arial" w:hAnsi="Arial"/>
                <w:sz w:val="15"/>
                <w:szCs w:val="15"/>
                <w:b w:val="1"/>
                <w:bCs w:val="1"/>
                <w:color w:val="auto"/>
              </w:rPr>
              <w:t>Annual Return</w:t>
            </w:r>
          </w:p>
        </w:tc>
      </w:tr>
      <w:tr>
        <w:trPr>
          <w:trHeight w:val="198"/>
        </w:trPr>
        <w:tc>
          <w:tcPr>
            <w:tcW w:w="1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ind w:left="1800"/>
              <w:spacing w:after="0"/>
              <w:rPr>
                <w:sz w:val="20"/>
                <w:szCs w:val="20"/>
                <w:color w:val="auto"/>
              </w:rPr>
            </w:pPr>
            <w:r>
              <w:rPr>
                <w:rFonts w:ascii="Arial" w:cs="Arial" w:eastAsia="Arial" w:hAnsi="Arial"/>
                <w:sz w:val="15"/>
                <w:szCs w:val="15"/>
                <w:b w:val="1"/>
                <w:bCs w:val="1"/>
                <w:color w:val="auto"/>
              </w:rPr>
              <w:t>Investment Option</w:t>
            </w:r>
          </w:p>
        </w:tc>
        <w:tc>
          <w:tcPr>
            <w:tcW w:w="2660" w:type="dxa"/>
            <w:vAlign w:val="bottom"/>
            <w:tcBorders>
              <w:bottom w:val="single" w:sz="8" w:color="auto"/>
            </w:tcBorders>
            <w:gridSpan w:val="2"/>
          </w:tcPr>
          <w:p>
            <w:pPr>
              <w:jc w:val="center"/>
              <w:ind w:left="1303"/>
              <w:spacing w:after="0"/>
              <w:rPr>
                <w:sz w:val="20"/>
                <w:szCs w:val="20"/>
                <w:color w:val="auto"/>
              </w:rPr>
            </w:pPr>
            <w:r>
              <w:rPr>
                <w:rFonts w:ascii="Arial" w:cs="Arial" w:eastAsia="Arial" w:hAnsi="Arial"/>
                <w:sz w:val="15"/>
                <w:szCs w:val="15"/>
                <w:b w:val="1"/>
                <w:bCs w:val="1"/>
                <w:color w:val="auto"/>
              </w:rPr>
              <w:t>for FY 2025</w:t>
            </w:r>
          </w:p>
        </w:tc>
      </w:tr>
      <w:tr>
        <w:trPr>
          <w:trHeight w:val="228"/>
        </w:trPr>
        <w:tc>
          <w:tcPr>
            <w:tcW w:w="3880" w:type="dxa"/>
            <w:vAlign w:val="bottom"/>
            <w:gridSpan w:val="2"/>
            <w:shd w:val="clear" w:color="auto" w:fill="DFE4EA"/>
          </w:tcPr>
          <w:p>
            <w:pPr>
              <w:spacing w:after="0"/>
              <w:rPr>
                <w:sz w:val="20"/>
                <w:szCs w:val="20"/>
                <w:color w:val="auto"/>
              </w:rPr>
            </w:pPr>
            <w:r>
              <w:rPr>
                <w:rFonts w:ascii="Arial" w:cs="Arial" w:eastAsia="Arial" w:hAnsi="Arial"/>
                <w:sz w:val="15"/>
                <w:szCs w:val="15"/>
                <w:color w:val="auto"/>
              </w:rPr>
              <w:t>Fidelity VIP Gov’t Money Market</w:t>
            </w:r>
          </w:p>
        </w:tc>
        <w:tc>
          <w:tcPr>
            <w:tcW w:w="2500" w:type="dxa"/>
            <w:vAlign w:val="bottom"/>
            <w:shd w:val="clear" w:color="auto" w:fill="DFE4EA"/>
          </w:tcPr>
          <w:p>
            <w:pPr>
              <w:jc w:val="center"/>
              <w:ind w:left="1483"/>
              <w:spacing w:after="0"/>
              <w:rPr>
                <w:sz w:val="20"/>
                <w:szCs w:val="20"/>
                <w:color w:val="auto"/>
              </w:rPr>
            </w:pPr>
            <w:r>
              <w:rPr>
                <w:rFonts w:ascii="Arial" w:cs="Arial" w:eastAsia="Arial" w:hAnsi="Arial"/>
                <w:sz w:val="15"/>
                <w:szCs w:val="15"/>
                <w:color w:val="auto"/>
              </w:rPr>
              <w:t>4.04</w:t>
            </w:r>
          </w:p>
        </w:tc>
        <w:tc>
          <w:tcPr>
            <w:tcW w:w="160" w:type="dxa"/>
            <w:vAlign w:val="bottom"/>
            <w:shd w:val="clear" w:color="auto" w:fill="DFE4EA"/>
          </w:tcPr>
          <w:p>
            <w:pPr>
              <w:spacing w:after="0"/>
              <w:rPr>
                <w:sz w:val="19"/>
                <w:szCs w:val="19"/>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5"/>
                <w:szCs w:val="15"/>
                <w:color w:val="auto"/>
              </w:rPr>
              <w:t>PIMCO VIT High Yield</w:t>
            </w:r>
          </w:p>
        </w:tc>
        <w:tc>
          <w:tcPr>
            <w:tcW w:w="2500" w:type="dxa"/>
            <w:vAlign w:val="bottom"/>
          </w:tcPr>
          <w:p>
            <w:pPr>
              <w:jc w:val="center"/>
              <w:ind w:left="1483"/>
              <w:spacing w:after="0"/>
              <w:rPr>
                <w:sz w:val="20"/>
                <w:szCs w:val="20"/>
                <w:color w:val="auto"/>
              </w:rPr>
            </w:pPr>
            <w:r>
              <w:rPr>
                <w:rFonts w:ascii="Arial" w:cs="Arial" w:eastAsia="Arial" w:hAnsi="Arial"/>
                <w:sz w:val="15"/>
                <w:szCs w:val="15"/>
                <w:color w:val="auto"/>
              </w:rPr>
              <w:t>8.99</w:t>
            </w:r>
          </w:p>
        </w:tc>
        <w:tc>
          <w:tcPr>
            <w:tcW w:w="160" w:type="dxa"/>
            <w:vAlign w:val="bottom"/>
          </w:tcPr>
          <w:p>
            <w:pPr>
              <w:spacing w:after="0"/>
              <w:rPr>
                <w:sz w:val="18"/>
                <w:szCs w:val="18"/>
                <w:color w:val="auto"/>
              </w:rPr>
            </w:pPr>
          </w:p>
        </w:tc>
      </w:tr>
      <w:tr>
        <w:trPr>
          <w:trHeight w:val="224"/>
        </w:trPr>
        <w:tc>
          <w:tcPr>
            <w:tcW w:w="3880" w:type="dxa"/>
            <w:vAlign w:val="bottom"/>
            <w:gridSpan w:val="2"/>
            <w:shd w:val="clear" w:color="auto" w:fill="DFE4EA"/>
          </w:tcPr>
          <w:p>
            <w:pPr>
              <w:spacing w:after="0"/>
              <w:rPr>
                <w:sz w:val="20"/>
                <w:szCs w:val="20"/>
                <w:color w:val="auto"/>
              </w:rPr>
            </w:pPr>
            <w:r>
              <w:rPr>
                <w:rFonts w:ascii="Arial" w:cs="Arial" w:eastAsia="Arial" w:hAnsi="Arial"/>
                <w:sz w:val="15"/>
                <w:szCs w:val="15"/>
                <w:color w:val="auto"/>
              </w:rPr>
              <w:t>PIMCO VIT Total Return</w:t>
            </w:r>
          </w:p>
        </w:tc>
        <w:tc>
          <w:tcPr>
            <w:tcW w:w="2500" w:type="dxa"/>
            <w:vAlign w:val="bottom"/>
            <w:shd w:val="clear" w:color="auto" w:fill="DFE4EA"/>
          </w:tcPr>
          <w:p>
            <w:pPr>
              <w:jc w:val="center"/>
              <w:ind w:left="1483"/>
              <w:spacing w:after="0"/>
              <w:rPr>
                <w:sz w:val="20"/>
                <w:szCs w:val="20"/>
                <w:color w:val="auto"/>
              </w:rPr>
            </w:pPr>
            <w:r>
              <w:rPr>
                <w:rFonts w:ascii="Arial" w:cs="Arial" w:eastAsia="Arial" w:hAnsi="Arial"/>
                <w:sz w:val="15"/>
                <w:szCs w:val="15"/>
                <w:color w:val="auto"/>
              </w:rPr>
              <w:t>8.92</w:t>
            </w:r>
          </w:p>
        </w:tc>
        <w:tc>
          <w:tcPr>
            <w:tcW w:w="160" w:type="dxa"/>
            <w:vAlign w:val="bottom"/>
            <w:shd w:val="clear" w:color="auto" w:fill="DFE4EA"/>
          </w:tcPr>
          <w:p>
            <w:pPr>
              <w:spacing w:after="0"/>
              <w:rPr>
                <w:sz w:val="19"/>
                <w:szCs w:val="19"/>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5"/>
                <w:szCs w:val="15"/>
                <w:color w:val="auto"/>
              </w:rPr>
              <w:t>Principal LifeTime Strategic Income</w:t>
            </w:r>
          </w:p>
        </w:tc>
        <w:tc>
          <w:tcPr>
            <w:tcW w:w="2500" w:type="dxa"/>
            <w:vAlign w:val="bottom"/>
          </w:tcPr>
          <w:p>
            <w:pPr>
              <w:jc w:val="center"/>
              <w:ind w:left="1483"/>
              <w:spacing w:after="0"/>
              <w:rPr>
                <w:sz w:val="20"/>
                <w:szCs w:val="20"/>
                <w:color w:val="auto"/>
              </w:rPr>
            </w:pPr>
            <w:r>
              <w:rPr>
                <w:rFonts w:ascii="Arial" w:cs="Arial" w:eastAsia="Arial" w:hAnsi="Arial"/>
                <w:sz w:val="15"/>
                <w:szCs w:val="15"/>
                <w:color w:val="auto"/>
              </w:rPr>
              <w:t>10.45</w:t>
            </w:r>
          </w:p>
        </w:tc>
        <w:tc>
          <w:tcPr>
            <w:tcW w:w="160" w:type="dxa"/>
            <w:vAlign w:val="bottom"/>
          </w:tcPr>
          <w:p>
            <w:pPr>
              <w:spacing w:after="0"/>
              <w:rPr>
                <w:sz w:val="18"/>
                <w:szCs w:val="18"/>
                <w:color w:val="auto"/>
              </w:rPr>
            </w:pPr>
          </w:p>
        </w:tc>
      </w:tr>
      <w:tr>
        <w:trPr>
          <w:trHeight w:val="224"/>
        </w:trPr>
        <w:tc>
          <w:tcPr>
            <w:tcW w:w="3880" w:type="dxa"/>
            <w:vAlign w:val="bottom"/>
            <w:gridSpan w:val="2"/>
            <w:shd w:val="clear" w:color="auto" w:fill="DFE4EA"/>
          </w:tcPr>
          <w:p>
            <w:pPr>
              <w:spacing w:after="0"/>
              <w:rPr>
                <w:sz w:val="20"/>
                <w:szCs w:val="20"/>
                <w:color w:val="auto"/>
              </w:rPr>
            </w:pPr>
            <w:r>
              <w:rPr>
                <w:rFonts w:ascii="Arial" w:cs="Arial" w:eastAsia="Arial" w:hAnsi="Arial"/>
                <w:sz w:val="15"/>
                <w:szCs w:val="15"/>
                <w:color w:val="auto"/>
              </w:rPr>
              <w:t>Principal LifeTime 2020 Division</w:t>
            </w:r>
          </w:p>
        </w:tc>
        <w:tc>
          <w:tcPr>
            <w:tcW w:w="2500" w:type="dxa"/>
            <w:vAlign w:val="bottom"/>
            <w:shd w:val="clear" w:color="auto" w:fill="DFE4EA"/>
          </w:tcPr>
          <w:p>
            <w:pPr>
              <w:jc w:val="center"/>
              <w:ind w:left="1483"/>
              <w:spacing w:after="0"/>
              <w:rPr>
                <w:sz w:val="20"/>
                <w:szCs w:val="20"/>
                <w:color w:val="auto"/>
              </w:rPr>
            </w:pPr>
            <w:r>
              <w:rPr>
                <w:rFonts w:ascii="Arial" w:cs="Arial" w:eastAsia="Arial" w:hAnsi="Arial"/>
                <w:sz w:val="15"/>
                <w:szCs w:val="15"/>
                <w:color w:val="auto"/>
              </w:rPr>
              <w:t>11.33</w:t>
            </w:r>
          </w:p>
        </w:tc>
        <w:tc>
          <w:tcPr>
            <w:tcW w:w="160" w:type="dxa"/>
            <w:vAlign w:val="bottom"/>
            <w:shd w:val="clear" w:color="auto" w:fill="DFE4EA"/>
          </w:tcPr>
          <w:p>
            <w:pPr>
              <w:spacing w:after="0"/>
              <w:rPr>
                <w:sz w:val="19"/>
                <w:szCs w:val="19"/>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5"/>
                <w:szCs w:val="15"/>
                <w:color w:val="auto"/>
              </w:rPr>
              <w:t>Principal LifeTime 2030 Division</w:t>
            </w:r>
          </w:p>
        </w:tc>
        <w:tc>
          <w:tcPr>
            <w:tcW w:w="2500" w:type="dxa"/>
            <w:vAlign w:val="bottom"/>
          </w:tcPr>
          <w:p>
            <w:pPr>
              <w:jc w:val="center"/>
              <w:ind w:left="1483"/>
              <w:spacing w:after="0"/>
              <w:rPr>
                <w:sz w:val="20"/>
                <w:szCs w:val="20"/>
                <w:color w:val="auto"/>
              </w:rPr>
            </w:pPr>
            <w:r>
              <w:rPr>
                <w:rFonts w:ascii="Arial" w:cs="Arial" w:eastAsia="Arial" w:hAnsi="Arial"/>
                <w:sz w:val="15"/>
                <w:szCs w:val="15"/>
                <w:color w:val="auto"/>
              </w:rPr>
              <w:t>13.21</w:t>
            </w:r>
          </w:p>
        </w:tc>
        <w:tc>
          <w:tcPr>
            <w:tcW w:w="160" w:type="dxa"/>
            <w:vAlign w:val="bottom"/>
          </w:tcPr>
          <w:p>
            <w:pPr>
              <w:spacing w:after="0"/>
              <w:rPr>
                <w:sz w:val="18"/>
                <w:szCs w:val="18"/>
                <w:color w:val="auto"/>
              </w:rPr>
            </w:pPr>
          </w:p>
        </w:tc>
      </w:tr>
      <w:tr>
        <w:trPr>
          <w:trHeight w:val="224"/>
        </w:trPr>
        <w:tc>
          <w:tcPr>
            <w:tcW w:w="3880" w:type="dxa"/>
            <w:vAlign w:val="bottom"/>
            <w:gridSpan w:val="2"/>
            <w:shd w:val="clear" w:color="auto" w:fill="DFE4EA"/>
          </w:tcPr>
          <w:p>
            <w:pPr>
              <w:spacing w:after="0"/>
              <w:rPr>
                <w:sz w:val="20"/>
                <w:szCs w:val="20"/>
                <w:color w:val="auto"/>
              </w:rPr>
            </w:pPr>
            <w:r>
              <w:rPr>
                <w:rFonts w:ascii="Arial" w:cs="Arial" w:eastAsia="Arial" w:hAnsi="Arial"/>
                <w:sz w:val="15"/>
                <w:szCs w:val="15"/>
                <w:color w:val="auto"/>
              </w:rPr>
              <w:t>Principal LifeTime 2040 Division</w:t>
            </w:r>
          </w:p>
        </w:tc>
        <w:tc>
          <w:tcPr>
            <w:tcW w:w="2500" w:type="dxa"/>
            <w:vAlign w:val="bottom"/>
            <w:shd w:val="clear" w:color="auto" w:fill="DFE4EA"/>
          </w:tcPr>
          <w:p>
            <w:pPr>
              <w:jc w:val="center"/>
              <w:ind w:left="1483"/>
              <w:spacing w:after="0"/>
              <w:rPr>
                <w:sz w:val="20"/>
                <w:szCs w:val="20"/>
                <w:color w:val="auto"/>
              </w:rPr>
            </w:pPr>
            <w:r>
              <w:rPr>
                <w:rFonts w:ascii="Arial" w:cs="Arial" w:eastAsia="Arial" w:hAnsi="Arial"/>
                <w:sz w:val="15"/>
                <w:szCs w:val="15"/>
                <w:color w:val="auto"/>
              </w:rPr>
              <w:t>15.57</w:t>
            </w:r>
          </w:p>
        </w:tc>
        <w:tc>
          <w:tcPr>
            <w:tcW w:w="160" w:type="dxa"/>
            <w:vAlign w:val="bottom"/>
            <w:shd w:val="clear" w:color="auto" w:fill="DFE4EA"/>
          </w:tcPr>
          <w:p>
            <w:pPr>
              <w:spacing w:after="0"/>
              <w:rPr>
                <w:sz w:val="19"/>
                <w:szCs w:val="19"/>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5"/>
                <w:szCs w:val="15"/>
                <w:color w:val="auto"/>
              </w:rPr>
              <w:t>Principal LifeTime 2050 Division</w:t>
            </w:r>
          </w:p>
        </w:tc>
        <w:tc>
          <w:tcPr>
            <w:tcW w:w="2500" w:type="dxa"/>
            <w:vAlign w:val="bottom"/>
          </w:tcPr>
          <w:p>
            <w:pPr>
              <w:jc w:val="center"/>
              <w:ind w:left="1483"/>
              <w:spacing w:after="0"/>
              <w:rPr>
                <w:sz w:val="20"/>
                <w:szCs w:val="20"/>
                <w:color w:val="auto"/>
              </w:rPr>
            </w:pPr>
            <w:r>
              <w:rPr>
                <w:rFonts w:ascii="Arial" w:cs="Arial" w:eastAsia="Arial" w:hAnsi="Arial"/>
                <w:sz w:val="15"/>
                <w:szCs w:val="15"/>
                <w:color w:val="auto"/>
              </w:rPr>
              <w:t>17.50</w:t>
            </w:r>
          </w:p>
        </w:tc>
        <w:tc>
          <w:tcPr>
            <w:tcW w:w="160" w:type="dxa"/>
            <w:vAlign w:val="bottom"/>
          </w:tcPr>
          <w:p>
            <w:pPr>
              <w:spacing w:after="0"/>
              <w:rPr>
                <w:sz w:val="18"/>
                <w:szCs w:val="18"/>
                <w:color w:val="auto"/>
              </w:rPr>
            </w:pPr>
          </w:p>
        </w:tc>
      </w:tr>
      <w:tr>
        <w:trPr>
          <w:trHeight w:val="224"/>
        </w:trPr>
        <w:tc>
          <w:tcPr>
            <w:tcW w:w="3880" w:type="dxa"/>
            <w:vAlign w:val="bottom"/>
            <w:gridSpan w:val="2"/>
            <w:shd w:val="clear" w:color="auto" w:fill="DFE4EA"/>
          </w:tcPr>
          <w:p>
            <w:pPr>
              <w:spacing w:after="0"/>
              <w:rPr>
                <w:sz w:val="20"/>
                <w:szCs w:val="20"/>
                <w:color w:val="auto"/>
              </w:rPr>
            </w:pPr>
            <w:r>
              <w:rPr>
                <w:rFonts w:ascii="Arial" w:cs="Arial" w:eastAsia="Arial" w:hAnsi="Arial"/>
                <w:sz w:val="15"/>
                <w:szCs w:val="15"/>
                <w:color w:val="auto"/>
              </w:rPr>
              <w:t>Principal LifeTime 2060 Division</w:t>
            </w:r>
          </w:p>
        </w:tc>
        <w:tc>
          <w:tcPr>
            <w:tcW w:w="2500" w:type="dxa"/>
            <w:vAlign w:val="bottom"/>
            <w:shd w:val="clear" w:color="auto" w:fill="DFE4EA"/>
          </w:tcPr>
          <w:p>
            <w:pPr>
              <w:jc w:val="center"/>
              <w:ind w:left="1483"/>
              <w:spacing w:after="0"/>
              <w:rPr>
                <w:sz w:val="20"/>
                <w:szCs w:val="20"/>
                <w:color w:val="auto"/>
              </w:rPr>
            </w:pPr>
            <w:r>
              <w:rPr>
                <w:rFonts w:ascii="Arial" w:cs="Arial" w:eastAsia="Arial" w:hAnsi="Arial"/>
                <w:sz w:val="15"/>
                <w:szCs w:val="15"/>
                <w:color w:val="auto"/>
              </w:rPr>
              <w:t>17.68</w:t>
            </w:r>
          </w:p>
        </w:tc>
        <w:tc>
          <w:tcPr>
            <w:tcW w:w="160" w:type="dxa"/>
            <w:vAlign w:val="bottom"/>
            <w:shd w:val="clear" w:color="auto" w:fill="DFE4EA"/>
          </w:tcPr>
          <w:p>
            <w:pPr>
              <w:spacing w:after="0"/>
              <w:rPr>
                <w:sz w:val="19"/>
                <w:szCs w:val="19"/>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5"/>
                <w:szCs w:val="15"/>
                <w:color w:val="auto"/>
              </w:rPr>
              <w:t>Principal Equity Income</w:t>
            </w:r>
          </w:p>
        </w:tc>
        <w:tc>
          <w:tcPr>
            <w:tcW w:w="2500" w:type="dxa"/>
            <w:vAlign w:val="bottom"/>
          </w:tcPr>
          <w:p>
            <w:pPr>
              <w:jc w:val="center"/>
              <w:ind w:left="1483"/>
              <w:spacing w:after="0"/>
              <w:rPr>
                <w:sz w:val="20"/>
                <w:szCs w:val="20"/>
                <w:color w:val="auto"/>
              </w:rPr>
            </w:pPr>
            <w:r>
              <w:rPr>
                <w:rFonts w:ascii="Arial" w:cs="Arial" w:eastAsia="Arial" w:hAnsi="Arial"/>
                <w:sz w:val="15"/>
                <w:szCs w:val="15"/>
                <w:color w:val="auto"/>
              </w:rPr>
              <w:t>15.50</w:t>
            </w:r>
          </w:p>
        </w:tc>
        <w:tc>
          <w:tcPr>
            <w:tcW w:w="160" w:type="dxa"/>
            <w:vAlign w:val="bottom"/>
          </w:tcPr>
          <w:p>
            <w:pPr>
              <w:spacing w:after="0"/>
              <w:rPr>
                <w:sz w:val="18"/>
                <w:szCs w:val="18"/>
                <w:color w:val="auto"/>
              </w:rPr>
            </w:pPr>
          </w:p>
        </w:tc>
      </w:tr>
      <w:tr>
        <w:trPr>
          <w:trHeight w:val="224"/>
        </w:trPr>
        <w:tc>
          <w:tcPr>
            <w:tcW w:w="3880" w:type="dxa"/>
            <w:vAlign w:val="bottom"/>
            <w:gridSpan w:val="2"/>
            <w:shd w:val="clear" w:color="auto" w:fill="DFE4EA"/>
          </w:tcPr>
          <w:p>
            <w:pPr>
              <w:spacing w:after="0"/>
              <w:rPr>
                <w:sz w:val="20"/>
                <w:szCs w:val="20"/>
                <w:color w:val="auto"/>
              </w:rPr>
            </w:pPr>
            <w:r>
              <w:rPr>
                <w:rFonts w:ascii="Arial" w:cs="Arial" w:eastAsia="Arial" w:hAnsi="Arial"/>
                <w:sz w:val="15"/>
                <w:szCs w:val="15"/>
                <w:color w:val="auto"/>
              </w:rPr>
              <w:t>Principal LargeCap S&amp;P 500 Index</w:t>
            </w:r>
          </w:p>
        </w:tc>
        <w:tc>
          <w:tcPr>
            <w:tcW w:w="2500" w:type="dxa"/>
            <w:vAlign w:val="bottom"/>
            <w:shd w:val="clear" w:color="auto" w:fill="DFE4EA"/>
          </w:tcPr>
          <w:p>
            <w:pPr>
              <w:jc w:val="center"/>
              <w:ind w:left="1483"/>
              <w:spacing w:after="0"/>
              <w:rPr>
                <w:sz w:val="20"/>
                <w:szCs w:val="20"/>
                <w:color w:val="auto"/>
              </w:rPr>
            </w:pPr>
            <w:r>
              <w:rPr>
                <w:rFonts w:ascii="Arial" w:cs="Arial" w:eastAsia="Arial" w:hAnsi="Arial"/>
                <w:sz w:val="15"/>
                <w:szCs w:val="15"/>
                <w:color w:val="auto"/>
              </w:rPr>
              <w:t>17.62</w:t>
            </w:r>
          </w:p>
        </w:tc>
        <w:tc>
          <w:tcPr>
            <w:tcW w:w="160" w:type="dxa"/>
            <w:vAlign w:val="bottom"/>
            <w:shd w:val="clear" w:color="auto" w:fill="DFE4EA"/>
          </w:tcPr>
          <w:p>
            <w:pPr>
              <w:spacing w:after="0"/>
              <w:rPr>
                <w:sz w:val="19"/>
                <w:szCs w:val="19"/>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5"/>
                <w:szCs w:val="15"/>
                <w:color w:val="auto"/>
              </w:rPr>
              <w:t>T. Rowe Price – LargeCap Growth I</w:t>
            </w:r>
          </w:p>
        </w:tc>
        <w:tc>
          <w:tcPr>
            <w:tcW w:w="2500" w:type="dxa"/>
            <w:vAlign w:val="bottom"/>
          </w:tcPr>
          <w:p>
            <w:pPr>
              <w:jc w:val="center"/>
              <w:ind w:left="1483"/>
              <w:spacing w:after="0"/>
              <w:rPr>
                <w:sz w:val="20"/>
                <w:szCs w:val="20"/>
                <w:color w:val="auto"/>
              </w:rPr>
            </w:pPr>
            <w:r>
              <w:rPr>
                <w:rFonts w:ascii="Arial" w:cs="Arial" w:eastAsia="Arial" w:hAnsi="Arial"/>
                <w:sz w:val="15"/>
                <w:szCs w:val="15"/>
                <w:color w:val="auto"/>
              </w:rPr>
              <w:t>11.39</w:t>
            </w:r>
          </w:p>
        </w:tc>
        <w:tc>
          <w:tcPr>
            <w:tcW w:w="160" w:type="dxa"/>
            <w:vAlign w:val="bottom"/>
          </w:tcPr>
          <w:p>
            <w:pPr>
              <w:spacing w:after="0"/>
              <w:rPr>
                <w:sz w:val="18"/>
                <w:szCs w:val="18"/>
                <w:color w:val="auto"/>
              </w:rPr>
            </w:pPr>
          </w:p>
        </w:tc>
      </w:tr>
      <w:tr>
        <w:trPr>
          <w:trHeight w:val="224"/>
        </w:trPr>
        <w:tc>
          <w:tcPr>
            <w:tcW w:w="3880" w:type="dxa"/>
            <w:vAlign w:val="bottom"/>
            <w:gridSpan w:val="2"/>
            <w:shd w:val="clear" w:color="auto" w:fill="DFE4EA"/>
          </w:tcPr>
          <w:p>
            <w:pPr>
              <w:spacing w:after="0"/>
              <w:rPr>
                <w:sz w:val="20"/>
                <w:szCs w:val="20"/>
                <w:color w:val="auto"/>
              </w:rPr>
            </w:pPr>
            <w:r>
              <w:rPr>
                <w:rFonts w:ascii="Arial" w:cs="Arial" w:eastAsia="Arial" w:hAnsi="Arial"/>
                <w:sz w:val="15"/>
                <w:szCs w:val="15"/>
                <w:color w:val="auto"/>
              </w:rPr>
              <w:t>AmericanCentury LVIP Mid Cap Value</w:t>
            </w:r>
          </w:p>
        </w:tc>
        <w:tc>
          <w:tcPr>
            <w:tcW w:w="2500" w:type="dxa"/>
            <w:vAlign w:val="bottom"/>
            <w:shd w:val="clear" w:color="auto" w:fill="DFE4EA"/>
          </w:tcPr>
          <w:p>
            <w:pPr>
              <w:jc w:val="center"/>
              <w:ind w:left="1483"/>
              <w:spacing w:after="0"/>
              <w:rPr>
                <w:sz w:val="20"/>
                <w:szCs w:val="20"/>
                <w:color w:val="auto"/>
              </w:rPr>
            </w:pPr>
            <w:r>
              <w:rPr>
                <w:rFonts w:ascii="Arial" w:cs="Arial" w:eastAsia="Arial" w:hAnsi="Arial"/>
                <w:sz w:val="15"/>
                <w:szCs w:val="15"/>
                <w:color w:val="auto"/>
              </w:rPr>
              <w:t>8.83</w:t>
            </w:r>
          </w:p>
        </w:tc>
        <w:tc>
          <w:tcPr>
            <w:tcW w:w="160" w:type="dxa"/>
            <w:vAlign w:val="bottom"/>
            <w:shd w:val="clear" w:color="auto" w:fill="DFE4EA"/>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5"/>
          <w:szCs w:val="15"/>
          <w:b w:val="1"/>
          <w:bCs w:val="1"/>
          <w:color w:val="auto"/>
        </w:rPr>
        <w:t>Investment Options Provided and Associated Return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11430</wp:posOffset>
            </wp:positionV>
            <wp:extent cx="415417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54170" cy="7620"/>
                    </a:xfrm>
                    <a:prstGeom prst="rect">
                      <a:avLst/>
                    </a:prstGeom>
                    <a:noFill/>
                  </pic:spPr>
                </pic:pic>
              </a:graphicData>
            </a:graphic>
          </wp:anchor>
        </w:drawing>
      </w:r>
    </w:p>
    <w:p>
      <w:pPr>
        <w:spacing w:after="0" w:line="39" w:lineRule="exact"/>
        <w:rPr>
          <w:sz w:val="20"/>
          <w:szCs w:val="20"/>
          <w:color w:val="auto"/>
        </w:rPr>
      </w:pPr>
    </w:p>
    <w:tbl>
      <w:tblPr>
        <w:tblLayout w:type="fixed"/>
        <w:tblInd w:w="174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1680" w:type="dxa"/>
            <w:vAlign w:val="bottom"/>
          </w:tcPr>
          <w:p>
            <w:pPr>
              <w:jc w:val="center"/>
              <w:ind w:left="343"/>
              <w:spacing w:after="0"/>
              <w:rPr>
                <w:sz w:val="20"/>
                <w:szCs w:val="20"/>
                <w:color w:val="auto"/>
              </w:rPr>
            </w:pPr>
            <w:r>
              <w:rPr>
                <w:rFonts w:ascii="Arial" w:cs="Arial" w:eastAsia="Arial" w:hAnsi="Arial"/>
                <w:sz w:val="15"/>
                <w:szCs w:val="15"/>
                <w:b w:val="1"/>
                <w:bCs w:val="1"/>
                <w:color w:val="auto"/>
              </w:rPr>
              <w:t>Annual Return</w:t>
            </w:r>
          </w:p>
        </w:tc>
      </w:tr>
      <w:tr>
        <w:trPr>
          <w:trHeight w:val="191"/>
        </w:trPr>
        <w:tc>
          <w:tcPr>
            <w:tcW w:w="4860" w:type="dxa"/>
            <w:vAlign w:val="bottom"/>
            <w:tcBorders>
              <w:bottom w:val="single" w:sz="8" w:color="auto"/>
            </w:tcBorders>
          </w:tcPr>
          <w:p>
            <w:pPr>
              <w:ind w:left="1960"/>
              <w:spacing w:after="0"/>
              <w:rPr>
                <w:sz w:val="20"/>
                <w:szCs w:val="20"/>
                <w:color w:val="auto"/>
              </w:rPr>
            </w:pPr>
            <w:r>
              <w:rPr>
                <w:rFonts w:ascii="Arial" w:cs="Arial" w:eastAsia="Arial" w:hAnsi="Arial"/>
                <w:sz w:val="15"/>
                <w:szCs w:val="15"/>
                <w:b w:val="1"/>
                <w:bCs w:val="1"/>
                <w:color w:val="auto"/>
              </w:rPr>
              <w:t>Investment Option</w:t>
            </w:r>
          </w:p>
        </w:tc>
        <w:tc>
          <w:tcPr>
            <w:tcW w:w="1680" w:type="dxa"/>
            <w:vAlign w:val="bottom"/>
            <w:tcBorders>
              <w:bottom w:val="single" w:sz="8" w:color="auto"/>
            </w:tcBorders>
          </w:tcPr>
          <w:p>
            <w:pPr>
              <w:jc w:val="center"/>
              <w:ind w:left="323"/>
              <w:spacing w:after="0"/>
              <w:rPr>
                <w:sz w:val="20"/>
                <w:szCs w:val="20"/>
                <w:color w:val="auto"/>
              </w:rPr>
            </w:pPr>
            <w:r>
              <w:rPr>
                <w:rFonts w:ascii="Arial" w:cs="Arial" w:eastAsia="Arial" w:hAnsi="Arial"/>
                <w:sz w:val="15"/>
                <w:szCs w:val="15"/>
                <w:b w:val="1"/>
                <w:bCs w:val="1"/>
                <w:color w:val="auto"/>
              </w:rPr>
              <w:t>for FY 2025</w:t>
            </w:r>
          </w:p>
        </w:tc>
      </w:tr>
      <w:tr>
        <w:trPr>
          <w:trHeight w:val="231"/>
        </w:trPr>
        <w:tc>
          <w:tcPr>
            <w:tcW w:w="4860" w:type="dxa"/>
            <w:vAlign w:val="bottom"/>
          </w:tcPr>
          <w:p>
            <w:pPr>
              <w:spacing w:after="0"/>
              <w:rPr>
                <w:sz w:val="20"/>
                <w:szCs w:val="20"/>
                <w:color w:val="auto"/>
              </w:rPr>
            </w:pPr>
            <w:r>
              <w:rPr>
                <w:rFonts w:ascii="Arial" w:cs="Arial" w:eastAsia="Arial" w:hAnsi="Arial"/>
                <w:sz w:val="15"/>
                <w:szCs w:val="15"/>
                <w:color w:val="auto"/>
              </w:rPr>
              <w:t>Fidelity VIP MidCap</w:t>
            </w:r>
          </w:p>
        </w:tc>
        <w:tc>
          <w:tcPr>
            <w:tcW w:w="1680" w:type="dxa"/>
            <w:vAlign w:val="bottom"/>
          </w:tcPr>
          <w:p>
            <w:pPr>
              <w:jc w:val="center"/>
              <w:ind w:left="343"/>
              <w:spacing w:after="0"/>
              <w:rPr>
                <w:sz w:val="20"/>
                <w:szCs w:val="20"/>
                <w:color w:val="auto"/>
              </w:rPr>
            </w:pPr>
            <w:r>
              <w:rPr>
                <w:rFonts w:ascii="Arial" w:cs="Arial" w:eastAsia="Arial" w:hAnsi="Arial"/>
                <w:sz w:val="15"/>
                <w:szCs w:val="15"/>
                <w:color w:val="auto"/>
              </w:rPr>
              <w:t>11.49</w:t>
            </w:r>
          </w:p>
        </w:tc>
      </w:tr>
      <w:tr>
        <w:trPr>
          <w:trHeight w:val="224"/>
        </w:trPr>
        <w:tc>
          <w:tcPr>
            <w:tcW w:w="4860" w:type="dxa"/>
            <w:vAlign w:val="bottom"/>
            <w:shd w:val="clear" w:color="auto" w:fill="DFE4EA"/>
          </w:tcPr>
          <w:p>
            <w:pPr>
              <w:spacing w:after="0"/>
              <w:rPr>
                <w:sz w:val="20"/>
                <w:szCs w:val="20"/>
                <w:color w:val="auto"/>
              </w:rPr>
            </w:pPr>
            <w:r>
              <w:rPr>
                <w:rFonts w:ascii="Arial" w:cs="Arial" w:eastAsia="Arial" w:hAnsi="Arial"/>
                <w:sz w:val="15"/>
                <w:szCs w:val="15"/>
                <w:color w:val="auto"/>
              </w:rPr>
              <w:t>Vanguard VIF Mid Cap Index</w:t>
            </w:r>
          </w:p>
        </w:tc>
        <w:tc>
          <w:tcPr>
            <w:tcW w:w="1680" w:type="dxa"/>
            <w:vAlign w:val="bottom"/>
            <w:shd w:val="clear" w:color="auto" w:fill="DFE4EA"/>
          </w:tcPr>
          <w:p>
            <w:pPr>
              <w:jc w:val="center"/>
              <w:ind w:left="343"/>
              <w:spacing w:after="0"/>
              <w:rPr>
                <w:sz w:val="20"/>
                <w:szCs w:val="20"/>
                <w:color w:val="auto"/>
              </w:rPr>
            </w:pPr>
            <w:r>
              <w:rPr>
                <w:rFonts w:ascii="Arial" w:cs="Arial" w:eastAsia="Arial" w:hAnsi="Arial"/>
                <w:sz w:val="15"/>
                <w:szCs w:val="15"/>
                <w:color w:val="auto"/>
              </w:rPr>
              <w:t>11.54</w:t>
            </w:r>
          </w:p>
        </w:tc>
      </w:tr>
      <w:tr>
        <w:trPr>
          <w:trHeight w:val="216"/>
        </w:trPr>
        <w:tc>
          <w:tcPr>
            <w:tcW w:w="4860" w:type="dxa"/>
            <w:vAlign w:val="bottom"/>
          </w:tcPr>
          <w:p>
            <w:pPr>
              <w:spacing w:after="0"/>
              <w:rPr>
                <w:sz w:val="20"/>
                <w:szCs w:val="20"/>
                <w:color w:val="auto"/>
              </w:rPr>
            </w:pPr>
            <w:r>
              <w:rPr>
                <w:rFonts w:ascii="Arial" w:cs="Arial" w:eastAsia="Arial" w:hAnsi="Arial"/>
                <w:sz w:val="15"/>
                <w:szCs w:val="15"/>
                <w:color w:val="auto"/>
              </w:rPr>
              <w:t>Franklin Small Cap Value VIP</w:t>
            </w:r>
          </w:p>
        </w:tc>
        <w:tc>
          <w:tcPr>
            <w:tcW w:w="1680" w:type="dxa"/>
            <w:vAlign w:val="bottom"/>
          </w:tcPr>
          <w:p>
            <w:pPr>
              <w:jc w:val="center"/>
              <w:ind w:left="343"/>
              <w:spacing w:after="0"/>
              <w:rPr>
                <w:sz w:val="20"/>
                <w:szCs w:val="20"/>
                <w:color w:val="auto"/>
              </w:rPr>
            </w:pPr>
            <w:r>
              <w:rPr>
                <w:rFonts w:ascii="Arial" w:cs="Arial" w:eastAsia="Arial" w:hAnsi="Arial"/>
                <w:sz w:val="15"/>
                <w:szCs w:val="15"/>
                <w:color w:val="auto"/>
              </w:rPr>
              <w:t>7.65</w:t>
            </w:r>
          </w:p>
        </w:tc>
      </w:tr>
      <w:tr>
        <w:trPr>
          <w:trHeight w:val="224"/>
        </w:trPr>
        <w:tc>
          <w:tcPr>
            <w:tcW w:w="4860" w:type="dxa"/>
            <w:vAlign w:val="bottom"/>
            <w:shd w:val="clear" w:color="auto" w:fill="DFE4EA"/>
          </w:tcPr>
          <w:p>
            <w:pPr>
              <w:spacing w:after="0"/>
              <w:rPr>
                <w:sz w:val="20"/>
                <w:szCs w:val="20"/>
                <w:color w:val="auto"/>
              </w:rPr>
            </w:pPr>
            <w:r>
              <w:rPr>
                <w:rFonts w:ascii="Arial" w:cs="Arial" w:eastAsia="Arial" w:hAnsi="Arial"/>
                <w:sz w:val="15"/>
                <w:szCs w:val="15"/>
                <w:color w:val="auto"/>
              </w:rPr>
              <w:t>Calvert CVT Russell 2000 Small Cap Index</w:t>
            </w:r>
          </w:p>
        </w:tc>
        <w:tc>
          <w:tcPr>
            <w:tcW w:w="1680" w:type="dxa"/>
            <w:vAlign w:val="bottom"/>
            <w:shd w:val="clear" w:color="auto" w:fill="DFE4EA"/>
          </w:tcPr>
          <w:p>
            <w:pPr>
              <w:jc w:val="center"/>
              <w:ind w:left="343"/>
              <w:spacing w:after="0"/>
              <w:rPr>
                <w:sz w:val="20"/>
                <w:szCs w:val="20"/>
                <w:color w:val="auto"/>
              </w:rPr>
            </w:pPr>
            <w:r>
              <w:rPr>
                <w:rFonts w:ascii="Arial" w:cs="Arial" w:eastAsia="Arial" w:hAnsi="Arial"/>
                <w:sz w:val="15"/>
                <w:szCs w:val="15"/>
                <w:color w:val="auto"/>
              </w:rPr>
              <w:t>12.23</w:t>
            </w:r>
          </w:p>
        </w:tc>
      </w:tr>
      <w:tr>
        <w:trPr>
          <w:trHeight w:val="216"/>
        </w:trPr>
        <w:tc>
          <w:tcPr>
            <w:tcW w:w="4860" w:type="dxa"/>
            <w:vAlign w:val="bottom"/>
          </w:tcPr>
          <w:p>
            <w:pPr>
              <w:spacing w:after="0"/>
              <w:rPr>
                <w:sz w:val="20"/>
                <w:szCs w:val="20"/>
                <w:color w:val="auto"/>
              </w:rPr>
            </w:pPr>
            <w:r>
              <w:rPr>
                <w:rFonts w:ascii="Arial" w:cs="Arial" w:eastAsia="Arial" w:hAnsi="Arial"/>
                <w:sz w:val="15"/>
                <w:szCs w:val="15"/>
                <w:color w:val="auto"/>
              </w:rPr>
              <w:t>Legg Mason ClearBridge Variable Small Cap Growth</w:t>
            </w:r>
          </w:p>
        </w:tc>
        <w:tc>
          <w:tcPr>
            <w:tcW w:w="1680" w:type="dxa"/>
            <w:vAlign w:val="bottom"/>
          </w:tcPr>
          <w:p>
            <w:pPr>
              <w:jc w:val="center"/>
              <w:ind w:left="343"/>
              <w:spacing w:after="0"/>
              <w:rPr>
                <w:sz w:val="20"/>
                <w:szCs w:val="20"/>
                <w:color w:val="auto"/>
              </w:rPr>
            </w:pPr>
            <w:r>
              <w:rPr>
                <w:rFonts w:ascii="Arial" w:cs="Arial" w:eastAsia="Arial" w:hAnsi="Arial"/>
                <w:sz w:val="15"/>
                <w:szCs w:val="15"/>
                <w:color w:val="auto"/>
              </w:rPr>
              <w:t>9.23</w:t>
            </w:r>
          </w:p>
        </w:tc>
      </w:tr>
      <w:tr>
        <w:trPr>
          <w:trHeight w:val="224"/>
        </w:trPr>
        <w:tc>
          <w:tcPr>
            <w:tcW w:w="4860" w:type="dxa"/>
            <w:vAlign w:val="bottom"/>
            <w:shd w:val="clear" w:color="auto" w:fill="DFE4EA"/>
          </w:tcPr>
          <w:p>
            <w:pPr>
              <w:spacing w:after="0"/>
              <w:rPr>
                <w:sz w:val="20"/>
                <w:szCs w:val="20"/>
                <w:color w:val="auto"/>
              </w:rPr>
            </w:pPr>
            <w:r>
              <w:rPr>
                <w:rFonts w:ascii="Arial" w:cs="Arial" w:eastAsia="Arial" w:hAnsi="Arial"/>
                <w:sz w:val="15"/>
                <w:szCs w:val="15"/>
                <w:color w:val="auto"/>
              </w:rPr>
              <w:t>Principal Real Estate Securities</w:t>
            </w:r>
          </w:p>
        </w:tc>
        <w:tc>
          <w:tcPr>
            <w:tcW w:w="1680" w:type="dxa"/>
            <w:vAlign w:val="bottom"/>
            <w:shd w:val="clear" w:color="auto" w:fill="DFE4EA"/>
          </w:tcPr>
          <w:p>
            <w:pPr>
              <w:jc w:val="center"/>
              <w:ind w:left="343"/>
              <w:spacing w:after="0"/>
              <w:rPr>
                <w:sz w:val="20"/>
                <w:szCs w:val="20"/>
                <w:color w:val="auto"/>
              </w:rPr>
            </w:pPr>
            <w:r>
              <w:rPr>
                <w:rFonts w:ascii="Arial" w:cs="Arial" w:eastAsia="Arial" w:hAnsi="Arial"/>
                <w:sz w:val="15"/>
                <w:szCs w:val="15"/>
                <w:color w:val="auto"/>
              </w:rPr>
              <w:t>1.24</w:t>
            </w:r>
          </w:p>
        </w:tc>
      </w:tr>
      <w:tr>
        <w:trPr>
          <w:trHeight w:val="216"/>
        </w:trPr>
        <w:tc>
          <w:tcPr>
            <w:tcW w:w="4860" w:type="dxa"/>
            <w:vAlign w:val="bottom"/>
          </w:tcPr>
          <w:p>
            <w:pPr>
              <w:spacing w:after="0"/>
              <w:rPr>
                <w:sz w:val="20"/>
                <w:szCs w:val="20"/>
                <w:color w:val="auto"/>
              </w:rPr>
            </w:pPr>
            <w:r>
              <w:rPr>
                <w:rFonts w:ascii="Arial" w:cs="Arial" w:eastAsia="Arial" w:hAnsi="Arial"/>
                <w:sz w:val="15"/>
                <w:szCs w:val="15"/>
                <w:color w:val="auto"/>
              </w:rPr>
              <w:t>Capital Research American Funds Insurance Series New World</w:t>
            </w:r>
          </w:p>
        </w:tc>
        <w:tc>
          <w:tcPr>
            <w:tcW w:w="1680" w:type="dxa"/>
            <w:vAlign w:val="bottom"/>
          </w:tcPr>
          <w:p>
            <w:pPr>
              <w:jc w:val="center"/>
              <w:ind w:left="343"/>
              <w:spacing w:after="0"/>
              <w:rPr>
                <w:sz w:val="20"/>
                <w:szCs w:val="20"/>
                <w:color w:val="auto"/>
              </w:rPr>
            </w:pPr>
            <w:r>
              <w:rPr>
                <w:rFonts w:ascii="Arial" w:cs="Arial" w:eastAsia="Arial" w:hAnsi="Arial"/>
                <w:sz w:val="15"/>
                <w:szCs w:val="15"/>
                <w:color w:val="auto"/>
              </w:rPr>
              <w:t>28.30</w:t>
            </w:r>
          </w:p>
        </w:tc>
      </w:tr>
      <w:tr>
        <w:trPr>
          <w:trHeight w:val="224"/>
        </w:trPr>
        <w:tc>
          <w:tcPr>
            <w:tcW w:w="4860" w:type="dxa"/>
            <w:vAlign w:val="bottom"/>
            <w:shd w:val="clear" w:color="auto" w:fill="DFE4EA"/>
          </w:tcPr>
          <w:p>
            <w:pPr>
              <w:spacing w:after="0"/>
              <w:rPr>
                <w:sz w:val="20"/>
                <w:szCs w:val="20"/>
                <w:color w:val="auto"/>
              </w:rPr>
            </w:pPr>
            <w:r>
              <w:rPr>
                <w:rFonts w:ascii="Arial" w:cs="Arial" w:eastAsia="Arial" w:hAnsi="Arial"/>
                <w:sz w:val="15"/>
                <w:szCs w:val="15"/>
                <w:color w:val="auto"/>
              </w:rPr>
              <w:t>BNY Mellon IP Technology Growth</w:t>
            </w:r>
          </w:p>
        </w:tc>
        <w:tc>
          <w:tcPr>
            <w:tcW w:w="1680" w:type="dxa"/>
            <w:vAlign w:val="bottom"/>
            <w:shd w:val="clear" w:color="auto" w:fill="DFE4EA"/>
          </w:tcPr>
          <w:p>
            <w:pPr>
              <w:jc w:val="center"/>
              <w:ind w:left="343"/>
              <w:spacing w:after="0"/>
              <w:rPr>
                <w:sz w:val="20"/>
                <w:szCs w:val="20"/>
                <w:color w:val="auto"/>
              </w:rPr>
            </w:pPr>
            <w:r>
              <w:rPr>
                <w:rFonts w:ascii="Arial" w:cs="Arial" w:eastAsia="Arial" w:hAnsi="Arial"/>
                <w:sz w:val="15"/>
                <w:szCs w:val="15"/>
                <w:color w:val="auto"/>
              </w:rPr>
              <w:t>27.87</w:t>
            </w:r>
          </w:p>
        </w:tc>
      </w:tr>
      <w:tr>
        <w:trPr>
          <w:trHeight w:val="212"/>
        </w:trPr>
        <w:tc>
          <w:tcPr>
            <w:tcW w:w="4860" w:type="dxa"/>
            <w:vAlign w:val="bottom"/>
          </w:tcPr>
          <w:p>
            <w:pPr>
              <w:spacing w:after="0"/>
              <w:rPr>
                <w:sz w:val="20"/>
                <w:szCs w:val="20"/>
                <w:color w:val="auto"/>
              </w:rPr>
            </w:pPr>
            <w:r>
              <w:rPr>
                <w:rFonts w:ascii="Arial" w:cs="Arial" w:eastAsia="Arial" w:hAnsi="Arial"/>
                <w:sz w:val="15"/>
                <w:szCs w:val="15"/>
                <w:color w:val="auto"/>
              </w:rPr>
              <w:t>Van Eck Global Resources</w:t>
            </w:r>
          </w:p>
        </w:tc>
        <w:tc>
          <w:tcPr>
            <w:tcW w:w="1680" w:type="dxa"/>
            <w:vAlign w:val="bottom"/>
          </w:tcPr>
          <w:p>
            <w:pPr>
              <w:jc w:val="center"/>
              <w:ind w:left="343"/>
              <w:spacing w:after="0"/>
              <w:rPr>
                <w:sz w:val="20"/>
                <w:szCs w:val="20"/>
                <w:color w:val="auto"/>
              </w:rPr>
            </w:pPr>
            <w:r>
              <w:rPr>
                <w:rFonts w:ascii="Arial" w:cs="Arial" w:eastAsia="Arial" w:hAnsi="Arial"/>
                <w:sz w:val="15"/>
                <w:szCs w:val="15"/>
                <w:color w:val="auto"/>
              </w:rPr>
              <w:t>36.48</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36333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34"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We have entered into certain agreements and maintain certain plans that will require us to provide compensation to the Named Executive Officers in the event of specified terminations of their employment or upon a change of control of Artivion.</w:t>
      </w:r>
    </w:p>
    <w:p>
      <w:pPr>
        <w:spacing w:after="0" w:line="85" w:lineRule="exact"/>
        <w:rPr>
          <w:sz w:val="20"/>
          <w:szCs w:val="20"/>
          <w:color w:val="auto"/>
        </w:rPr>
      </w:pPr>
    </w:p>
    <w:p>
      <w:pPr>
        <w:ind w:right="4040"/>
        <w:spacing w:after="0" w:line="380" w:lineRule="auto"/>
        <w:rPr>
          <w:sz w:val="20"/>
          <w:szCs w:val="20"/>
          <w:color w:val="auto"/>
        </w:rPr>
      </w:pPr>
      <w:r>
        <w:rPr>
          <w:rFonts w:ascii="Arial" w:cs="Arial" w:eastAsia="Arial" w:hAnsi="Arial"/>
          <w:sz w:val="17"/>
          <w:szCs w:val="17"/>
          <w:b w:val="1"/>
          <w:bCs w:val="1"/>
          <w:i w:val="1"/>
          <w:iCs w:val="1"/>
          <w:color w:val="auto"/>
        </w:rPr>
        <w:t xml:space="preserve">Employment, Separation and Release, and Change of Control Agreements </w:t>
      </w:r>
      <w:r>
        <w:rPr>
          <w:rFonts w:ascii="Arial" w:cs="Arial" w:eastAsia="Arial" w:hAnsi="Arial"/>
          <w:sz w:val="17"/>
          <w:szCs w:val="17"/>
          <w:i w:val="1"/>
          <w:iCs w:val="1"/>
          <w:color w:val="auto"/>
        </w:rPr>
        <w:t>Employment Agreement with J. Patrick Mackin.</w:t>
      </w:r>
    </w:p>
    <w:p>
      <w:pPr>
        <w:jc w:val="both"/>
        <w:ind w:firstLine="334"/>
        <w:spacing w:after="0" w:line="285" w:lineRule="auto"/>
        <w:rPr>
          <w:sz w:val="20"/>
          <w:szCs w:val="20"/>
          <w:color w:val="auto"/>
        </w:rPr>
      </w:pPr>
      <w:r>
        <w:rPr>
          <w:rFonts w:ascii="Arial" w:cs="Arial" w:eastAsia="Arial" w:hAnsi="Arial"/>
          <w:sz w:val="15"/>
          <w:szCs w:val="15"/>
          <w:color w:val="auto"/>
        </w:rPr>
        <w:t>Pursuant to the Mackin Agreement, Mr. Mackin will receive certain compensation upon the termination of his employment, other than termination for cause or voluntary termination without good reason.</w:t>
      </w:r>
    </w:p>
    <w:p>
      <w:pPr>
        <w:spacing w:after="0" w:line="101"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The Mackin Agreement has an initial term of three years following the effective date, extended by one day for each day beginning on the second anniversary of the effective date. The Mackin Agreement provides that commencing January 1, 2015, Mr. Mackin is entitled to participate in annual long-term incentive opportunities as determined by the Compensation Committee consistent with those provided to similarly situated Artivion executive officers and in accordance with Artivion’s plans and applicable award agreements. Benefits currently include participation in Artivion’s plan-based awards with other Artivion executive officers for performance stock units, stock options, and restricted stock subject to continued employment and achievement of corporate and Board of Directors objectives set by the Compensation Committee.</w:t>
      </w:r>
    </w:p>
    <w:p>
      <w:pPr>
        <w:spacing w:after="0" w:line="117" w:lineRule="exact"/>
        <w:rPr>
          <w:sz w:val="20"/>
          <w:szCs w:val="20"/>
          <w:color w:val="auto"/>
        </w:rPr>
      </w:pPr>
    </w:p>
    <w:p>
      <w:pPr>
        <w:jc w:val="both"/>
        <w:ind w:firstLine="334"/>
        <w:spacing w:after="0" w:line="245" w:lineRule="auto"/>
        <w:rPr>
          <w:sz w:val="20"/>
          <w:szCs w:val="20"/>
          <w:color w:val="auto"/>
        </w:rPr>
      </w:pPr>
      <w:r>
        <w:rPr>
          <w:rFonts w:ascii="Arial" w:cs="Arial" w:eastAsia="Arial" w:hAnsi="Arial"/>
          <w:sz w:val="15"/>
          <w:szCs w:val="15"/>
          <w:color w:val="auto"/>
        </w:rPr>
        <w:t>The Mackin Agreement provides for an initial target cash bonus of 60% of base salary, a $200,000 signing bonus, a new-hire grant of options to purchase 400,000 shares of Company common stock, and a performance share grant with respect to 250,000 shares of Company common stock, the performance metric thereto having been determined satisfied by the Compensation Committee as of December 31, 2015. In the event Mr. Mackin’s employment is terminated without cause or Mr. Mackin resigns for good reason, he is entitled to a cash severance payment of 1.5x the sum of his base salary and annual cash bonus for the year of termination (or the prior year bonus if termination is prior to the date bonuses are awarded) paid in regular payroll installments over 18 months plus continued Company medical coverage for the same period. If Mr. Mackin’s employment is terminated without cause, or Mr. Mackin resigns for good reason during the period beginning six months prior to and ending two years following a change of control of the Company, Mr. Mackin is entitled to receive a termination payment, in lieu of the severance described in the prior sentence, of 2.5x the sum of his base salary and annual cash bonus for the year of termination (or the prior year bonus if termination is prior to the date bonuses are awarded), paid in a lump sum. The Mackin Agreement also includes various post-employment prohibitions regarding competing with us, soliciting our employees and customers, and disclosing our confidential information. Under the Mackin Agreement, Mr. Mackin must repay any portion of severance payments he has received from the Company if he fails to comply with certain post-employment protective covenants.</w:t>
      </w:r>
    </w:p>
    <w:p>
      <w:pPr>
        <w:spacing w:after="0" w:line="300"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For purposes of the Mackin Agreement, “cause” generally means (i) an intentional act of fraud, embezzlement, theft, or any other material violation of law that occurs during or in the course of the executive officer’s employment, (ii) intentional damage of Company assets, (iii) intentional disclosure of Company confidential information contrary to the Company’s policies, (iv) material breach of the executive officer’s obligations under the agreement, (v) intentional engagement by the executive officer in any activity that would constitute a breach of his duty of loyalty or of his assigned duties, (vi) intentional breach by the executive officer of any Company policies or procedures, (vii) willful and continued failure by the executive officer to perform his assigned duties, other than as a result of incapacity due to physical or mental illness, (viii) executive</w:t>
      </w:r>
    </w:p>
    <w:p>
      <w:pPr>
        <w:sectPr>
          <w:pgSz w:w="11900" w:h="16838" w:orient="portrait"/>
          <w:cols w:equalWidth="0" w:num="1">
            <w:col w:w="10020"/>
          </w:cols>
          <w:pgMar w:left="980" w:top="958"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958" w:right="899" w:bottom="1440" w:gutter="0" w:footer="0" w:header="0"/>
          <w:type w:val="continuous"/>
        </w:sectPr>
      </w:pPr>
    </w:p>
    <w:bookmarkStart w:id="52" w:name="page53"/>
    <w:bookmarkEnd w:id="52"/>
    <w:p>
      <w:pPr>
        <w:jc w:val="both"/>
        <w:spacing w:after="0" w:line="285" w:lineRule="auto"/>
        <w:rPr>
          <w:sz w:val="20"/>
          <w:szCs w:val="20"/>
          <w:color w:val="auto"/>
        </w:rPr>
      </w:pPr>
      <w:r>
        <w:rPr>
          <w:rFonts w:ascii="Arial" w:cs="Arial" w:eastAsia="Arial" w:hAnsi="Arial"/>
          <w:sz w:val="15"/>
          <w:szCs w:val="15"/>
          <w:color w:val="auto"/>
        </w:rPr>
        <w:t>officer is prevented from performing certain duties contemplated by the agreement by reason of an agreement with a prior employer, or (ix) willful conduct by the executive officer that is demonstrably and materially injurious to the Company, monetarily or otherwise.</w:t>
      </w:r>
    </w:p>
    <w:p>
      <w:pPr>
        <w:spacing w:after="0" w:line="89"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For purposes of the Mackin Agreement, “good reason” generally means (i) the assignment to the executive officer, without his consent, of any duties materially inconsistent with his position, authority, duties, or responsibilities, including changes in status, offices, or titles and any change in the executive officer’s reporting requirements that would cause him to report to an executive officer who is junior in seniority to the executive officer to whom he previously reported, (ii) requiring the executive officer to be based other than within 25 miles of Company headquarters as of the effective date, or (iii) any other action that results in a material diminution in his position, authority, duties, responsibilities, or aggregate base salary and cash bonus.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of Control Agreements with Other Named Executive Officers</w:t>
      </w:r>
    </w:p>
    <w:p>
      <w:pPr>
        <w:spacing w:after="0" w:line="122"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color w:val="auto"/>
        </w:rPr>
        <w:t>On November 21, 2016, Artivion entered into change of control agreements with each of Mr. Davis and Ms. Holloway. In August 2022, Artivion entered into new change of control agreements with Ms. Holloway and Mr. Davis; however, these new agreements contained only minor, non-substantive revisions to reflect Artivion’s rebranding and reincorporation under Delaware law. In December 2023, Artivion entered into a change of control agreement with Mr. Berry. All such change of control agreements provide that the Company will pay severance payments if Messrs. Berry or Davis or Ms. Holloway are terminated by the Company without cause or if he or she terminates the employment for good reason during a period extending from six months before to two years after a change of control of Artivion. This is a “double trigger” provision that requires not only a change of control of Artivion but also an adverse employment action.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Terms of the Change of Control Agreements</w:t>
      </w:r>
    </w:p>
    <w:p>
      <w:pPr>
        <w:spacing w:after="0" w:line="120" w:lineRule="exact"/>
        <w:rPr>
          <w:sz w:val="20"/>
          <w:szCs w:val="20"/>
          <w:color w:val="auto"/>
        </w:rPr>
      </w:pPr>
    </w:p>
    <w:p>
      <w:pPr>
        <w:jc w:val="both"/>
        <w:ind w:left="660" w:hanging="325"/>
        <w:spacing w:after="0" w:line="256"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initial term of the agreement for each of Mr. Davis and Ms. Holloway ended December 31, 2022. The initial term of the agreement for Mr. Berry ended December 31, 2023. Each of these agreements, however, will automatically renew at the end of the term and every year thereafter, for an additional one-year term, unless Artivion provides notice at least 30 days prior to the end of the then-current term that the agreement will not be extended.</w:t>
      </w:r>
    </w:p>
    <w:p>
      <w:pPr>
        <w:spacing w:after="0" w:line="99" w:lineRule="exact"/>
        <w:rPr>
          <w:rFonts w:ascii="Arial" w:cs="Arial" w:eastAsia="Arial" w:hAnsi="Arial"/>
          <w:sz w:val="15"/>
          <w:szCs w:val="15"/>
          <w:color w:val="auto"/>
        </w:rPr>
      </w:pPr>
    </w:p>
    <w:p>
      <w:pPr>
        <w:jc w:val="both"/>
        <w:ind w:left="660" w:hanging="325"/>
        <w:spacing w:after="0" w:line="256"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severance payment is an amount equal to 1.5x for each of Mr. Berry, Ms. Holloway, and Mr. Davis the sum of the executive officer’s base salary as of the date of termination and his or her bonus compensation for the year in which the termination of employment occurs, or if the bonus for that year has not yet been awarded, the most recently awarded bonus compensation. The agreements also provide for 18 months of medical coverage for each of Messrs. Berry and Davis and Ms. Holloway.</w:t>
      </w:r>
    </w:p>
    <w:p>
      <w:pPr>
        <w:spacing w:after="0" w:line="99" w:lineRule="exact"/>
        <w:rPr>
          <w:rFonts w:ascii="Arial" w:cs="Arial" w:eastAsia="Arial" w:hAnsi="Arial"/>
          <w:sz w:val="15"/>
          <w:szCs w:val="15"/>
          <w:color w:val="auto"/>
        </w:rPr>
      </w:pPr>
    </w:p>
    <w:p>
      <w:pPr>
        <w:jc w:val="both"/>
        <w:ind w:left="660" w:hanging="325"/>
        <w:spacing w:after="0" w:line="263"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Change of control, as defined in the agreement, means a change in the ownership of Artivion, a change in the effective control of Artivion, or a change in the ownership of a substantial portion of the assets of Artivion. Specifically, any of the following types of events would constitute a change of control under the agreements:</w:t>
      </w:r>
    </w:p>
    <w:p>
      <w:pPr>
        <w:spacing w:after="0" w:line="94" w:lineRule="exact"/>
        <w:rPr>
          <w:rFonts w:ascii="Arial" w:cs="Arial" w:eastAsia="Arial" w:hAnsi="Arial"/>
          <w:sz w:val="15"/>
          <w:szCs w:val="15"/>
          <w:color w:val="auto"/>
        </w:rPr>
      </w:pPr>
    </w:p>
    <w:p>
      <w:pPr>
        <w:ind w:left="1000" w:hanging="334"/>
        <w:spacing w:after="0" w:line="285" w:lineRule="auto"/>
        <w:rPr>
          <w:rFonts w:ascii="Arial" w:cs="Arial" w:eastAsia="Arial" w:hAnsi="Arial"/>
          <w:sz w:val="15"/>
          <w:szCs w:val="15"/>
          <w:color w:val="auto"/>
        </w:rPr>
      </w:pPr>
      <w:r>
        <w:rPr>
          <w:rFonts w:ascii="Arial" w:cs="Arial" w:eastAsia="Arial" w:hAnsi="Arial"/>
          <w:sz w:val="15"/>
          <w:szCs w:val="15"/>
          <w:color w:val="auto"/>
        </w:rPr>
        <w:t>o Any person, including a syndicate or group, acquires ownership of Artivion stock that, taken together with Artivion stock held by such person or group, constitutes more than 50% of the total voting power of the stock of Artivion;</w:t>
      </w:r>
    </w:p>
    <w:p>
      <w:pPr>
        <w:spacing w:after="0" w:line="77" w:lineRule="exact"/>
        <w:rPr>
          <w:rFonts w:ascii="Arial" w:cs="Arial" w:eastAsia="Arial" w:hAnsi="Arial"/>
          <w:sz w:val="15"/>
          <w:szCs w:val="15"/>
          <w:color w:val="auto"/>
        </w:rPr>
      </w:pPr>
    </w:p>
    <w:p>
      <w:pPr>
        <w:ind w:left="1000" w:hanging="334"/>
        <w:spacing w:after="0" w:line="285" w:lineRule="auto"/>
        <w:rPr>
          <w:rFonts w:ascii="Arial" w:cs="Arial" w:eastAsia="Arial" w:hAnsi="Arial"/>
          <w:sz w:val="15"/>
          <w:szCs w:val="15"/>
          <w:color w:val="auto"/>
        </w:rPr>
      </w:pPr>
      <w:r>
        <w:rPr>
          <w:rFonts w:ascii="Arial" w:cs="Arial" w:eastAsia="Arial" w:hAnsi="Arial"/>
          <w:sz w:val="15"/>
          <w:szCs w:val="15"/>
          <w:color w:val="auto"/>
        </w:rPr>
        <w:t>o Any person, including a syndicate or group, acquires ownership of stock of Artivion possessing 30% or more of the total voting power of Artivion stock;</w:t>
      </w:r>
    </w:p>
    <w:p>
      <w:pPr>
        <w:spacing w:after="0" w:line="77" w:lineRule="exact"/>
        <w:rPr>
          <w:rFonts w:ascii="Arial" w:cs="Arial" w:eastAsia="Arial" w:hAnsi="Arial"/>
          <w:sz w:val="15"/>
          <w:szCs w:val="15"/>
          <w:color w:val="auto"/>
        </w:rPr>
      </w:pPr>
    </w:p>
    <w:p>
      <w:pPr>
        <w:ind w:left="1000" w:hanging="334"/>
        <w:spacing w:after="0" w:line="285" w:lineRule="auto"/>
        <w:rPr>
          <w:rFonts w:ascii="Arial" w:cs="Arial" w:eastAsia="Arial" w:hAnsi="Arial"/>
          <w:sz w:val="15"/>
          <w:szCs w:val="15"/>
          <w:color w:val="auto"/>
        </w:rPr>
      </w:pPr>
      <w:r>
        <w:rPr>
          <w:rFonts w:ascii="Arial" w:cs="Arial" w:eastAsia="Arial" w:hAnsi="Arial"/>
          <w:sz w:val="15"/>
          <w:szCs w:val="15"/>
          <w:color w:val="auto"/>
        </w:rPr>
        <w:t>o A majority of the members of Artivion’s Board of Directors are replaced during any 12-month period by individuals whose appointment or election is not endorsed by a majority of the Board of Directors prior to the date of appointment or election; or</w:t>
      </w:r>
    </w:p>
    <w:p>
      <w:pPr>
        <w:spacing w:after="0" w:line="77" w:lineRule="exact"/>
        <w:rPr>
          <w:rFonts w:ascii="Arial" w:cs="Arial" w:eastAsia="Arial" w:hAnsi="Arial"/>
          <w:sz w:val="15"/>
          <w:szCs w:val="15"/>
          <w:color w:val="auto"/>
        </w:rPr>
      </w:pPr>
    </w:p>
    <w:p>
      <w:pPr>
        <w:ind w:left="1000" w:hanging="334"/>
        <w:spacing w:after="0" w:line="285" w:lineRule="auto"/>
        <w:rPr>
          <w:rFonts w:ascii="Arial" w:cs="Arial" w:eastAsia="Arial" w:hAnsi="Arial"/>
          <w:sz w:val="15"/>
          <w:szCs w:val="15"/>
          <w:color w:val="auto"/>
        </w:rPr>
      </w:pPr>
      <w:r>
        <w:rPr>
          <w:rFonts w:ascii="Arial" w:cs="Arial" w:eastAsia="Arial" w:hAnsi="Arial"/>
          <w:sz w:val="15"/>
          <w:szCs w:val="15"/>
          <w:color w:val="auto"/>
        </w:rPr>
        <w:t>o Any person, including a syndicate or group, acquires assets from Artivion that have a total gross fair market value equal to more than 40% of the total gross fair market value of all Artivion assets immediately prior to such acquisition.</w:t>
      </w:r>
    </w:p>
    <w:p>
      <w:pPr>
        <w:spacing w:after="0" w:line="77" w:lineRule="exact"/>
        <w:rPr>
          <w:rFonts w:ascii="Arial" w:cs="Arial" w:eastAsia="Arial" w:hAnsi="Arial"/>
          <w:sz w:val="15"/>
          <w:szCs w:val="15"/>
          <w:color w:val="auto"/>
        </w:rPr>
      </w:pPr>
    </w:p>
    <w:p>
      <w:pPr>
        <w:ind w:left="660" w:hanging="325"/>
        <w:spacing w:after="0"/>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agreements are not employment agreements and each respective officer’s employment is “at will.”</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53" w:name="page54"/>
    <w:bookmarkEnd w:id="53"/>
    <w:p>
      <w:pPr>
        <w:ind w:firstLine="334"/>
        <w:spacing w:after="0" w:line="285" w:lineRule="auto"/>
        <w:rPr>
          <w:sz w:val="20"/>
          <w:szCs w:val="20"/>
          <w:color w:val="auto"/>
        </w:rPr>
      </w:pPr>
      <w:r>
        <w:rPr>
          <w:rFonts w:ascii="Arial" w:cs="Arial" w:eastAsia="Arial" w:hAnsi="Arial"/>
          <w:sz w:val="15"/>
          <w:szCs w:val="15"/>
          <w:color w:val="auto"/>
        </w:rPr>
        <w:t>We will not be required to make a severance payment in connection with the change of control agreements if we terminate an executive officer’s employment for “cause,” which means:</w:t>
      </w:r>
    </w:p>
    <w:p>
      <w:pPr>
        <w:spacing w:after="0" w:line="43" w:lineRule="exact"/>
        <w:rPr>
          <w:sz w:val="20"/>
          <w:szCs w:val="20"/>
          <w:color w:val="auto"/>
        </w:rPr>
      </w:pPr>
    </w:p>
    <w:p>
      <w:pPr>
        <w:ind w:left="660" w:hanging="325"/>
        <w:spacing w:after="0" w:line="285" w:lineRule="auto"/>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An act of fraud, embezzlement, theft, or any other material violation of law that occurs during or in the course of the executive officer’s employment with Artivion;</w:t>
      </w:r>
    </w:p>
    <w:p>
      <w:pPr>
        <w:spacing w:after="0" w:line="42" w:lineRule="exact"/>
        <w:rPr>
          <w:rFonts w:ascii="Arial" w:cs="Arial" w:eastAsia="Arial" w:hAnsi="Arial"/>
          <w:sz w:val="15"/>
          <w:szCs w:val="15"/>
          <w:color w:val="auto"/>
        </w:rPr>
      </w:pPr>
    </w:p>
    <w:p>
      <w:pPr>
        <w:ind w:left="660" w:hanging="325"/>
        <w:spacing w:after="0"/>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Intentional or grossly negligent damage by the executive officer to Artivion assets;</w:t>
      </w:r>
    </w:p>
    <w:p>
      <w:pPr>
        <w:spacing w:after="0" w:line="117" w:lineRule="exact"/>
        <w:rPr>
          <w:rFonts w:ascii="Arial" w:cs="Arial" w:eastAsia="Arial" w:hAnsi="Arial"/>
          <w:sz w:val="15"/>
          <w:szCs w:val="15"/>
          <w:color w:val="auto"/>
        </w:rPr>
      </w:pPr>
    </w:p>
    <w:p>
      <w:pPr>
        <w:ind w:left="660" w:hanging="325"/>
        <w:spacing w:after="0"/>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Intentional or grossly negligent disclosure by the executive officer of Artivion’s confidential information contrary to Artivion policies;</w:t>
      </w:r>
    </w:p>
    <w:p>
      <w:pPr>
        <w:spacing w:after="0" w:line="105" w:lineRule="exact"/>
        <w:rPr>
          <w:rFonts w:ascii="Arial" w:cs="Arial" w:eastAsia="Arial" w:hAnsi="Arial"/>
          <w:sz w:val="15"/>
          <w:szCs w:val="15"/>
          <w:color w:val="auto"/>
        </w:rPr>
      </w:pPr>
    </w:p>
    <w:p>
      <w:pPr>
        <w:ind w:left="660" w:hanging="325"/>
        <w:spacing w:after="0"/>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Material breach of the executive officer’s obligations under the agreement or other agreements with Artivion;</w:t>
      </w:r>
    </w:p>
    <w:p>
      <w:pPr>
        <w:spacing w:after="0" w:line="105" w:lineRule="exact"/>
        <w:rPr>
          <w:rFonts w:ascii="Arial" w:cs="Arial" w:eastAsia="Arial" w:hAnsi="Arial"/>
          <w:sz w:val="15"/>
          <w:szCs w:val="15"/>
          <w:color w:val="auto"/>
        </w:rPr>
      </w:pPr>
    </w:p>
    <w:p>
      <w:pPr>
        <w:ind w:left="660" w:hanging="325"/>
        <w:spacing w:after="0" w:line="262" w:lineRule="auto"/>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Engagement by the executive officer in any activity that would constitute a breach of his or her duty of loyalty or of his or her assigned duties;</w:t>
      </w:r>
    </w:p>
    <w:p>
      <w:pPr>
        <w:spacing w:after="0" w:line="275" w:lineRule="exact"/>
        <w:rPr>
          <w:rFonts w:ascii="Arial" w:cs="Arial" w:eastAsia="Arial" w:hAnsi="Arial"/>
          <w:sz w:val="15"/>
          <w:szCs w:val="15"/>
          <w:color w:val="auto"/>
        </w:rPr>
      </w:pPr>
    </w:p>
    <w:p>
      <w:pPr>
        <w:ind w:left="660" w:hanging="325"/>
        <w:spacing w:after="0"/>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Breach by the executive officer of any of Artivion’s policies and procedures;</w:t>
      </w:r>
    </w:p>
    <w:p>
      <w:pPr>
        <w:spacing w:after="0" w:line="105" w:lineRule="exact"/>
        <w:rPr>
          <w:rFonts w:ascii="Arial" w:cs="Arial" w:eastAsia="Arial" w:hAnsi="Arial"/>
          <w:sz w:val="15"/>
          <w:szCs w:val="15"/>
          <w:color w:val="auto"/>
        </w:rPr>
      </w:pPr>
    </w:p>
    <w:p>
      <w:pPr>
        <w:ind w:left="660" w:hanging="325"/>
        <w:spacing w:after="0" w:line="285" w:lineRule="auto"/>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willful and continued failure by the executive officer to perform his or her assigned duties, other than as a result of incapacity due to physical or mental illness; or</w:t>
      </w:r>
    </w:p>
    <w:p>
      <w:pPr>
        <w:spacing w:after="0" w:line="42" w:lineRule="exact"/>
        <w:rPr>
          <w:rFonts w:ascii="Arial" w:cs="Arial" w:eastAsia="Arial" w:hAnsi="Arial"/>
          <w:sz w:val="15"/>
          <w:szCs w:val="15"/>
          <w:color w:val="auto"/>
        </w:rPr>
      </w:pPr>
    </w:p>
    <w:p>
      <w:pPr>
        <w:ind w:left="660" w:hanging="325"/>
        <w:spacing w:after="0"/>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Willful conduct by the executive officer that is demonstrably and materially injurious to Artivion, monetarily or otherwise.</w:t>
      </w:r>
    </w:p>
    <w:p>
      <w:pPr>
        <w:spacing w:after="0" w:line="141" w:lineRule="exact"/>
        <w:rPr>
          <w:sz w:val="20"/>
          <w:szCs w:val="20"/>
          <w:color w:val="auto"/>
        </w:rPr>
      </w:pPr>
    </w:p>
    <w:p>
      <w:pPr>
        <w:ind w:firstLine="334"/>
        <w:spacing w:after="0" w:line="285" w:lineRule="auto"/>
        <w:rPr>
          <w:sz w:val="20"/>
          <w:szCs w:val="20"/>
          <w:color w:val="auto"/>
        </w:rPr>
      </w:pPr>
      <w:r>
        <w:rPr>
          <w:rFonts w:ascii="Arial" w:cs="Arial" w:eastAsia="Arial" w:hAnsi="Arial"/>
          <w:sz w:val="15"/>
          <w:szCs w:val="15"/>
          <w:color w:val="auto"/>
        </w:rPr>
        <w:t>An executive officer may terminate his or her employment for “good reason” in connection with a change of control without forfeiting his or her severance pay if any of the following events occur during the term of the agreement:</w:t>
      </w:r>
    </w:p>
    <w:p>
      <w:pPr>
        <w:spacing w:after="0" w:line="54" w:lineRule="exact"/>
        <w:rPr>
          <w:sz w:val="20"/>
          <w:szCs w:val="20"/>
          <w:color w:val="auto"/>
        </w:rPr>
      </w:pPr>
    </w:p>
    <w:p>
      <w:pPr>
        <w:jc w:val="both"/>
        <w:ind w:left="660" w:hanging="325"/>
        <w:spacing w:after="0" w:line="263" w:lineRule="auto"/>
        <w:tabs>
          <w:tab w:leader="none" w:pos="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assignment to the executive officer, without his or her consent, of any duties materially inconsistent with his or her position, authority, duties, or responsibilities, including changes in status, offices, or titles and any change in the executive officer’s reporting requirements that would cause him or her to report to an officer who is junior in seniority to the officer to whom he or she previously reported; or</w:t>
      </w:r>
    </w:p>
    <w:p>
      <w:pPr>
        <w:spacing w:after="0" w:line="59" w:lineRule="exact"/>
        <w:rPr>
          <w:rFonts w:ascii="Arial" w:cs="Arial" w:eastAsia="Arial" w:hAnsi="Arial"/>
          <w:sz w:val="15"/>
          <w:szCs w:val="15"/>
          <w:color w:val="auto"/>
        </w:rPr>
      </w:pPr>
    </w:p>
    <w:p>
      <w:pPr>
        <w:jc w:val="both"/>
        <w:ind w:left="660" w:hanging="325"/>
        <w:spacing w:after="0" w:line="263" w:lineRule="auto"/>
        <w:tabs>
          <w:tab w:leader="none" w:pos="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Any other action by Artivion or an acquiring company that results in a material diminution in his or her position, authority, duties, responsibilities, or aggregate compensation, excluding for this purpose an isolated, insubstantial, and inadvertent action taken in good faith and which is remedied by Artivion or an acquiring company within 30 days after receipt of notice from the executive officer.</w:t>
      </w:r>
    </w:p>
    <w:p>
      <w:pPr>
        <w:spacing w:after="0" w:line="94"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The change of control agreements provide that we will pay any severance payment due in a lump sum not later than 30 days following the date of termination in the event of a termination following a change of control, or 30 days following a change of control in the event of a termination occurring within the six-month period preceding the change of control. We will delay payment of the severance payment until six months after the executive officer’s termination if necessary to prevent him or her from having to pay additional tax under Section 409A of the Code. We will also subject any severance payment to normal payroll tax withholding and compliance with non-compete obligations.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Agreement Not to Solicit or Compete</w:t>
      </w:r>
    </w:p>
    <w:p>
      <w:pPr>
        <w:spacing w:after="0" w:line="120"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Messrs. Berry and Davis and Ms. Holloway agree not to solicit any actual or prospective customers of Artivion with whom they have had contact for a competing business or to solicit employees of Artivion to leave Artivion. Messrs. Berry and Davis and Ms. Holloway agree, subject to applicable professional and ethical obligations and other legal requirements, not to join a competing business during the term of the agreement and for a period of one year following the termination of employment. Artivion or an acquiring company is not required to make the severance payment, and the officer is required to repay any portion of the severance payment already received, if he or she solicits customers or employees of Artivion during the term of the agreement and for a period of one year following the termination of employment.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and Change of Control Payments</w:t>
      </w:r>
    </w:p>
    <w:p>
      <w:pPr>
        <w:spacing w:after="0" w:line="122"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The amount of compensation we would be required to pay to each Named Executive Officer under certain termination and change of control scenarios is provided in the tables beginning on page 53. Amounts included in the tables are estimates and are forward-looking statements made pursuant to the safe harbor provisions of the Private Securities Litigation Reform Act of 1995. Due to the number of factors that affect the nature and amount of any benefits provided upon the events discussed below, any actual amounts paid or distributed may differ materially. The tables provided in this section for all Named Executive Officers assume that the relevant termination or change of control event occurred on December 31, 2025, the last business day of Artivion’s 2025 fiscal year.</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5"/>
          <w:szCs w:val="15"/>
          <w:b w:val="1"/>
          <w:bCs w:val="1"/>
          <w:color w:val="auto"/>
        </w:rPr>
        <w:t>J. Patrick Mackin, Chairman, President, and Chief Executive Officer</w:t>
      </w:r>
      <w:r>
        <w:rPr>
          <w:rFonts w:ascii="Arial" w:cs="Arial" w:eastAsia="Arial" w:hAnsi="Arial"/>
          <w:sz w:val="24"/>
          <w:szCs w:val="24"/>
          <w:b w:val="1"/>
          <w:bCs w:val="1"/>
          <w:color w:val="auto"/>
          <w:vertAlign w:val="superscript"/>
        </w:rPr>
        <w:t>(1)</w:t>
      </w:r>
    </w:p>
    <w:p>
      <w:pPr>
        <w:spacing w:after="0" w:line="98" w:lineRule="exact"/>
        <w:rPr>
          <w:sz w:val="20"/>
          <w:szCs w:val="20"/>
          <w:color w:val="auto"/>
        </w:rPr>
      </w:pPr>
    </w:p>
    <w:p>
      <w:pPr>
        <w:ind w:left="2720"/>
        <w:spacing w:after="0"/>
        <w:rPr>
          <w:sz w:val="20"/>
          <w:szCs w:val="20"/>
          <w:color w:val="auto"/>
        </w:rPr>
      </w:pPr>
      <w:r>
        <w:rPr>
          <w:rFonts w:ascii="Arial" w:cs="Arial" w:eastAsia="Arial" w:hAnsi="Arial"/>
          <w:sz w:val="15"/>
          <w:szCs w:val="15"/>
          <w:b w:val="1"/>
          <w:bCs w:val="1"/>
          <w:color w:val="auto"/>
        </w:rPr>
        <w:t>Executive Officer Benefits and Payments Upon Termination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36333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jc w:val="center"/>
              <w:ind w:right="3"/>
              <w:spacing w:after="0"/>
              <w:rPr>
                <w:sz w:val="20"/>
                <w:szCs w:val="20"/>
                <w:color w:val="auto"/>
              </w:rPr>
            </w:pPr>
            <w:r>
              <w:rPr>
                <w:rFonts w:ascii="Arial" w:cs="Arial" w:eastAsia="Arial" w:hAnsi="Arial"/>
                <w:sz w:val="15"/>
                <w:szCs w:val="15"/>
                <w:b w:val="1"/>
                <w:bCs w:val="1"/>
                <w:color w:val="auto"/>
              </w:rPr>
              <w:t>Certain</w:t>
            </w: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jc w:val="center"/>
              <w:ind w:right="3"/>
              <w:spacing w:after="0"/>
              <w:rPr>
                <w:sz w:val="20"/>
                <w:szCs w:val="20"/>
                <w:color w:val="auto"/>
              </w:rPr>
            </w:pPr>
            <w:r>
              <w:rPr>
                <w:rFonts w:ascii="Arial" w:cs="Arial" w:eastAsia="Arial" w:hAnsi="Arial"/>
                <w:sz w:val="15"/>
                <w:szCs w:val="15"/>
                <w:b w:val="1"/>
                <w:bCs w:val="1"/>
                <w:color w:val="auto"/>
              </w:rPr>
              <w:t>Termination</w:t>
            </w: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jc w:val="center"/>
              <w:ind w:right="3"/>
              <w:spacing w:after="0"/>
              <w:rPr>
                <w:sz w:val="20"/>
                <w:szCs w:val="20"/>
                <w:color w:val="auto"/>
              </w:rPr>
            </w:pPr>
            <w:r>
              <w:rPr>
                <w:rFonts w:ascii="Arial" w:cs="Arial" w:eastAsia="Arial" w:hAnsi="Arial"/>
                <w:sz w:val="15"/>
                <w:szCs w:val="15"/>
                <w:b w:val="1"/>
                <w:bCs w:val="1"/>
                <w:color w:val="auto"/>
              </w:rPr>
              <w:t>Events</w:t>
            </w:r>
          </w:p>
        </w:tc>
        <w:tc>
          <w:tcPr>
            <w:tcW w:w="0" w:type="dxa"/>
            <w:vAlign w:val="bottom"/>
          </w:tcPr>
          <w:p>
            <w:pPr>
              <w:spacing w:after="0"/>
              <w:rPr>
                <w:sz w:val="1"/>
                <w:szCs w:val="1"/>
                <w:color w:val="auto"/>
              </w:rPr>
            </w:pPr>
          </w:p>
        </w:tc>
      </w:tr>
      <w:tr>
        <w:trPr>
          <w:trHeight w:val="179"/>
        </w:trPr>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jc w:val="center"/>
              <w:ind w:right="23"/>
              <w:spacing w:after="0"/>
              <w:rPr>
                <w:sz w:val="20"/>
                <w:szCs w:val="20"/>
                <w:color w:val="auto"/>
              </w:rPr>
            </w:pPr>
            <w:r>
              <w:rPr>
                <w:rFonts w:ascii="Arial" w:cs="Arial" w:eastAsia="Arial" w:hAnsi="Arial"/>
                <w:sz w:val="15"/>
                <w:szCs w:val="15"/>
                <w:b w:val="1"/>
                <w:bCs w:val="1"/>
                <w:color w:val="auto"/>
              </w:rPr>
              <w:t>Good Reason</w:t>
            </w: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jc w:val="center"/>
              <w:ind w:right="3"/>
              <w:spacing w:after="0"/>
              <w:rPr>
                <w:sz w:val="20"/>
                <w:szCs w:val="20"/>
                <w:color w:val="auto"/>
              </w:rPr>
            </w:pPr>
            <w:r>
              <w:rPr>
                <w:rFonts w:ascii="Arial" w:cs="Arial" w:eastAsia="Arial" w:hAnsi="Arial"/>
                <w:sz w:val="15"/>
                <w:szCs w:val="15"/>
                <w:b w:val="1"/>
                <w:bCs w:val="1"/>
                <w:color w:val="auto"/>
              </w:rPr>
              <w:t>Change of</w:t>
            </w:r>
          </w:p>
        </w:tc>
        <w:tc>
          <w:tcPr>
            <w:tcW w:w="1080" w:type="dxa"/>
            <w:vAlign w:val="bottom"/>
          </w:tcPr>
          <w:p>
            <w:pPr>
              <w:jc w:val="center"/>
              <w:ind w:right="3"/>
              <w:spacing w:after="0"/>
              <w:rPr>
                <w:sz w:val="20"/>
                <w:szCs w:val="20"/>
                <w:color w:val="auto"/>
              </w:rPr>
            </w:pPr>
            <w:r>
              <w:rPr>
                <w:rFonts w:ascii="Arial" w:cs="Arial" w:eastAsia="Arial" w:hAnsi="Arial"/>
                <w:sz w:val="15"/>
                <w:szCs w:val="15"/>
                <w:b w:val="1"/>
                <w:bCs w:val="1"/>
                <w:color w:val="auto"/>
              </w:rPr>
              <w:t>Following/</w:t>
            </w: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jc w:val="center"/>
              <w:ind w:right="43"/>
              <w:spacing w:after="0"/>
              <w:rPr>
                <w:sz w:val="20"/>
                <w:szCs w:val="20"/>
                <w:color w:val="auto"/>
              </w:rPr>
            </w:pPr>
            <w:r>
              <w:rPr>
                <w:rFonts w:ascii="Arial" w:cs="Arial" w:eastAsia="Arial" w:hAnsi="Arial"/>
                <w:sz w:val="15"/>
                <w:szCs w:val="15"/>
                <w:b w:val="1"/>
                <w:bCs w:val="1"/>
                <w:color w:val="auto"/>
              </w:rPr>
              <w:t>or Involuntary</w:t>
            </w: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jc w:val="center"/>
              <w:ind w:right="3"/>
              <w:spacing w:after="0"/>
              <w:rPr>
                <w:sz w:val="20"/>
                <w:szCs w:val="20"/>
                <w:color w:val="auto"/>
              </w:rPr>
            </w:pPr>
            <w:r>
              <w:rPr>
                <w:rFonts w:ascii="Arial" w:cs="Arial" w:eastAsia="Arial" w:hAnsi="Arial"/>
                <w:sz w:val="15"/>
                <w:szCs w:val="15"/>
                <w:b w:val="1"/>
                <w:bCs w:val="1"/>
                <w:color w:val="auto"/>
              </w:rPr>
              <w:t>Control</w:t>
            </w:r>
          </w:p>
        </w:tc>
        <w:tc>
          <w:tcPr>
            <w:tcW w:w="1080" w:type="dxa"/>
            <w:vAlign w:val="bottom"/>
          </w:tcPr>
          <w:p>
            <w:pPr>
              <w:jc w:val="center"/>
              <w:ind w:right="3"/>
              <w:spacing w:after="0"/>
              <w:rPr>
                <w:sz w:val="20"/>
                <w:szCs w:val="20"/>
                <w:color w:val="auto"/>
              </w:rPr>
            </w:pPr>
            <w:r>
              <w:rPr>
                <w:rFonts w:ascii="Arial" w:cs="Arial" w:eastAsia="Arial" w:hAnsi="Arial"/>
                <w:sz w:val="15"/>
                <w:szCs w:val="15"/>
                <w:b w:val="1"/>
                <w:bCs w:val="1"/>
                <w:color w:val="auto"/>
              </w:rPr>
              <w:t>Preceding a</w:t>
            </w: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160" w:type="dxa"/>
            <w:vAlign w:val="bottom"/>
          </w:tcPr>
          <w:p>
            <w:pPr>
              <w:jc w:val="right"/>
              <w:ind w:right="183"/>
              <w:spacing w:after="0"/>
              <w:rPr>
                <w:sz w:val="20"/>
                <w:szCs w:val="20"/>
                <w:color w:val="auto"/>
              </w:rPr>
            </w:pPr>
            <w:r>
              <w:rPr>
                <w:rFonts w:ascii="Arial" w:cs="Arial" w:eastAsia="Arial" w:hAnsi="Arial"/>
                <w:sz w:val="15"/>
                <w:szCs w:val="15"/>
                <w:b w:val="1"/>
                <w:bCs w:val="1"/>
                <w:color w:val="auto"/>
              </w:rPr>
              <w:t>Voluntary</w:t>
            </w:r>
          </w:p>
        </w:tc>
        <w:tc>
          <w:tcPr>
            <w:tcW w:w="1220" w:type="dxa"/>
            <w:vAlign w:val="bottom"/>
          </w:tcPr>
          <w:p>
            <w:pPr>
              <w:jc w:val="center"/>
              <w:ind w:right="43"/>
              <w:spacing w:after="0"/>
              <w:rPr>
                <w:sz w:val="20"/>
                <w:szCs w:val="20"/>
                <w:color w:val="auto"/>
              </w:rPr>
            </w:pPr>
            <w:r>
              <w:rPr>
                <w:rFonts w:ascii="Arial" w:cs="Arial" w:eastAsia="Arial" w:hAnsi="Arial"/>
                <w:sz w:val="15"/>
                <w:szCs w:val="15"/>
                <w:b w:val="1"/>
                <w:bCs w:val="1"/>
                <w:color w:val="auto"/>
              </w:rPr>
              <w:t>Not for Cause</w:t>
            </w:r>
          </w:p>
        </w:tc>
        <w:tc>
          <w:tcPr>
            <w:tcW w:w="1260" w:type="dxa"/>
            <w:vAlign w:val="bottom"/>
          </w:tcPr>
          <w:p>
            <w:pPr>
              <w:jc w:val="right"/>
              <w:ind w:right="303"/>
              <w:spacing w:after="0"/>
              <w:rPr>
                <w:sz w:val="20"/>
                <w:szCs w:val="20"/>
                <w:color w:val="auto"/>
              </w:rPr>
            </w:pPr>
            <w:r>
              <w:rPr>
                <w:rFonts w:ascii="Arial" w:cs="Arial" w:eastAsia="Arial" w:hAnsi="Arial"/>
                <w:sz w:val="15"/>
                <w:szCs w:val="15"/>
                <w:b w:val="1"/>
                <w:bCs w:val="1"/>
                <w:color w:val="auto"/>
              </w:rPr>
              <w:t>For Cause</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jc w:val="center"/>
              <w:ind w:right="3"/>
              <w:spacing w:after="0"/>
              <w:rPr>
                <w:sz w:val="20"/>
                <w:szCs w:val="20"/>
                <w:color w:val="auto"/>
              </w:rPr>
            </w:pPr>
            <w:r>
              <w:rPr>
                <w:rFonts w:ascii="Arial" w:cs="Arial" w:eastAsia="Arial" w:hAnsi="Arial"/>
                <w:sz w:val="15"/>
                <w:szCs w:val="15"/>
                <w:b w:val="1"/>
                <w:bCs w:val="1"/>
                <w:color w:val="auto"/>
              </w:rPr>
              <w:t>Without Regard</w:t>
            </w:r>
          </w:p>
        </w:tc>
        <w:tc>
          <w:tcPr>
            <w:tcW w:w="1080" w:type="dxa"/>
            <w:vAlign w:val="bottom"/>
          </w:tcPr>
          <w:p>
            <w:pPr>
              <w:jc w:val="center"/>
              <w:ind w:right="3"/>
              <w:spacing w:after="0"/>
              <w:rPr>
                <w:sz w:val="20"/>
                <w:szCs w:val="20"/>
                <w:color w:val="auto"/>
              </w:rPr>
            </w:pPr>
            <w:r>
              <w:rPr>
                <w:rFonts w:ascii="Arial" w:cs="Arial" w:eastAsia="Arial" w:hAnsi="Arial"/>
                <w:sz w:val="15"/>
                <w:szCs w:val="15"/>
                <w:b w:val="1"/>
                <w:bCs w:val="1"/>
                <w:color w:val="auto"/>
              </w:rPr>
              <w:t>Change of</w:t>
            </w:r>
          </w:p>
        </w:tc>
        <w:tc>
          <w:tcPr>
            <w:tcW w:w="0" w:type="dxa"/>
            <w:vAlign w:val="bottom"/>
          </w:tcPr>
          <w:p>
            <w:pPr>
              <w:spacing w:after="0"/>
              <w:rPr>
                <w:sz w:val="1"/>
                <w:szCs w:val="1"/>
                <w:color w:val="auto"/>
              </w:rPr>
            </w:pPr>
          </w:p>
        </w:tc>
      </w:tr>
      <w:tr>
        <w:trPr>
          <w:trHeight w:val="216"/>
        </w:trPr>
        <w:tc>
          <w:tcPr>
            <w:tcW w:w="1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Retirement</w:t>
            </w:r>
          </w:p>
        </w:tc>
        <w:tc>
          <w:tcPr>
            <w:tcW w:w="12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rPr>
              <w:t>Termination</w:t>
            </w:r>
          </w:p>
        </w:tc>
        <w:tc>
          <w:tcPr>
            <w:tcW w:w="12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Termination</w:t>
            </w: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Death</w:t>
            </w:r>
          </w:p>
        </w:tc>
        <w:tc>
          <w:tcPr>
            <w:tcW w:w="10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Disability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to Termination</w:t>
            </w:r>
          </w:p>
        </w:tc>
        <w:tc>
          <w:tcPr>
            <w:tcW w:w="108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15"/>
                <w:szCs w:val="15"/>
                <w:b w:val="1"/>
                <w:bCs w:val="1"/>
                <w:color w:val="auto"/>
                <w:w w:val="95"/>
              </w:rPr>
              <w:t>Control</w:t>
            </w:r>
            <w:r>
              <w:rPr>
                <w:rFonts w:ascii="Arial" w:cs="Arial" w:eastAsia="Arial" w:hAnsi="Arial"/>
                <w:sz w:val="24"/>
                <w:szCs w:val="24"/>
                <w:b w:val="1"/>
                <w:bCs w:val="1"/>
                <w:color w:val="auto"/>
                <w:w w:val="95"/>
                <w:vertAlign w:val="superscript"/>
              </w:rPr>
              <w:t>(8)</w:t>
            </w:r>
          </w:p>
        </w:tc>
        <w:tc>
          <w:tcPr>
            <w:tcW w:w="0" w:type="dxa"/>
            <w:vAlign w:val="bottom"/>
          </w:tcPr>
          <w:p>
            <w:pPr>
              <w:spacing w:after="0"/>
              <w:rPr>
                <w:sz w:val="1"/>
                <w:szCs w:val="1"/>
                <w:color w:val="auto"/>
              </w:rPr>
            </w:pPr>
          </w:p>
        </w:tc>
      </w:tr>
      <w:tr>
        <w:trPr>
          <w:trHeight w:val="251"/>
        </w:trPr>
        <w:tc>
          <w:tcPr>
            <w:tcW w:w="1900" w:type="dxa"/>
            <w:vAlign w:val="bottom"/>
            <w:shd w:val="clear" w:color="auto" w:fill="DFE4EA"/>
          </w:tcPr>
          <w:p>
            <w:pPr>
              <w:spacing w:after="0"/>
              <w:rPr>
                <w:sz w:val="20"/>
                <w:szCs w:val="20"/>
                <w:color w:val="auto"/>
              </w:rPr>
            </w:pPr>
            <w:r>
              <w:rPr>
                <w:rFonts w:ascii="Arial" w:cs="Arial" w:eastAsia="Arial" w:hAnsi="Arial"/>
                <w:sz w:val="15"/>
                <w:szCs w:val="15"/>
                <w:color w:val="auto"/>
              </w:rPr>
              <w:t>Cash Compensation</w:t>
            </w:r>
          </w:p>
        </w:tc>
        <w:tc>
          <w:tcPr>
            <w:tcW w:w="116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991,368</w:t>
            </w:r>
            <w:r>
              <w:rPr>
                <w:rFonts w:ascii="Arial" w:cs="Arial" w:eastAsia="Arial" w:hAnsi="Arial"/>
                <w:sz w:val="24"/>
                <w:szCs w:val="24"/>
                <w:color w:val="auto"/>
                <w:vertAlign w:val="superscript"/>
              </w:rPr>
              <w:t>(2)</w:t>
            </w:r>
          </w:p>
        </w:tc>
        <w:tc>
          <w:tcPr>
            <w:tcW w:w="1220" w:type="dxa"/>
            <w:vAlign w:val="bottom"/>
            <w:shd w:val="clear" w:color="auto" w:fill="DFE4EA"/>
          </w:tcPr>
          <w:p>
            <w:pPr>
              <w:jc w:val="right"/>
              <w:ind w:right="3"/>
              <w:spacing w:after="0" w:line="251" w:lineRule="exact"/>
              <w:rPr>
                <w:sz w:val="20"/>
                <w:szCs w:val="20"/>
                <w:color w:val="auto"/>
              </w:rPr>
            </w:pPr>
            <w:r>
              <w:rPr>
                <w:rFonts w:ascii="Arial" w:cs="Arial" w:eastAsia="Arial" w:hAnsi="Arial"/>
                <w:sz w:val="15"/>
                <w:szCs w:val="15"/>
                <w:color w:val="auto"/>
              </w:rPr>
              <w:t>2,826,180</w:t>
            </w:r>
            <w:r>
              <w:rPr>
                <w:rFonts w:ascii="Arial" w:cs="Arial" w:eastAsia="Arial" w:hAnsi="Arial"/>
                <w:sz w:val="24"/>
                <w:szCs w:val="24"/>
                <w:color w:val="auto"/>
                <w:vertAlign w:val="superscript"/>
              </w:rPr>
              <w:t>(3)</w:t>
            </w:r>
          </w:p>
        </w:tc>
        <w:tc>
          <w:tcPr>
            <w:tcW w:w="1260" w:type="dxa"/>
            <w:vAlign w:val="bottom"/>
            <w:shd w:val="clear" w:color="auto" w:fill="DFE4EA"/>
          </w:tcPr>
          <w:p>
            <w:pPr>
              <w:jc w:val="right"/>
              <w:ind w:right="83"/>
              <w:spacing w:after="0" w:line="251" w:lineRule="exact"/>
              <w:rPr>
                <w:sz w:val="20"/>
                <w:szCs w:val="20"/>
                <w:color w:val="auto"/>
              </w:rPr>
            </w:pPr>
            <w:r>
              <w:rPr>
                <w:rFonts w:ascii="Arial" w:cs="Arial" w:eastAsia="Arial" w:hAnsi="Arial"/>
                <w:sz w:val="15"/>
                <w:szCs w:val="15"/>
                <w:color w:val="auto"/>
              </w:rPr>
              <w:t>991,368</w:t>
            </w:r>
            <w:r>
              <w:rPr>
                <w:rFonts w:ascii="Arial" w:cs="Arial" w:eastAsia="Arial" w:hAnsi="Arial"/>
                <w:sz w:val="24"/>
                <w:szCs w:val="24"/>
                <w:color w:val="auto"/>
                <w:vertAlign w:val="superscript"/>
              </w:rPr>
              <w:t>(2)</w:t>
            </w:r>
          </w:p>
        </w:tc>
        <w:tc>
          <w:tcPr>
            <w:tcW w:w="1120" w:type="dxa"/>
            <w:vAlign w:val="bottom"/>
            <w:shd w:val="clear" w:color="auto" w:fill="DFE4EA"/>
          </w:tcPr>
          <w:p>
            <w:pPr>
              <w:jc w:val="right"/>
              <w:ind w:right="43"/>
              <w:spacing w:after="0" w:line="251" w:lineRule="exact"/>
              <w:rPr>
                <w:sz w:val="20"/>
                <w:szCs w:val="20"/>
                <w:color w:val="auto"/>
              </w:rPr>
            </w:pPr>
            <w:r>
              <w:rPr>
                <w:rFonts w:ascii="Arial" w:cs="Arial" w:eastAsia="Arial" w:hAnsi="Arial"/>
                <w:sz w:val="15"/>
                <w:szCs w:val="15"/>
                <w:color w:val="auto"/>
              </w:rPr>
              <w:t>991,368</w:t>
            </w:r>
            <w:r>
              <w:rPr>
                <w:rFonts w:ascii="Arial" w:cs="Arial" w:eastAsia="Arial" w:hAnsi="Arial"/>
                <w:sz w:val="24"/>
                <w:szCs w:val="24"/>
                <w:color w:val="auto"/>
                <w:vertAlign w:val="superscript"/>
              </w:rPr>
              <w:t>(2)</w:t>
            </w:r>
          </w:p>
        </w:tc>
        <w:tc>
          <w:tcPr>
            <w:tcW w:w="104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991,368</w:t>
            </w:r>
            <w:r>
              <w:rPr>
                <w:rFonts w:ascii="Arial" w:cs="Arial" w:eastAsia="Arial" w:hAnsi="Arial"/>
                <w:sz w:val="24"/>
                <w:szCs w:val="24"/>
                <w:color w:val="auto"/>
                <w:vertAlign w:val="superscript"/>
              </w:rPr>
              <w:t>(2)</w:t>
            </w:r>
          </w:p>
        </w:tc>
        <w:tc>
          <w:tcPr>
            <w:tcW w:w="1240" w:type="dxa"/>
            <w:vAlign w:val="bottom"/>
            <w:shd w:val="clear" w:color="auto" w:fill="DFE4EA"/>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4,710,300</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r>
        <w:trPr>
          <w:trHeight w:val="182"/>
        </w:trPr>
        <w:tc>
          <w:tcPr>
            <w:tcW w:w="1900" w:type="dxa"/>
            <w:vAlign w:val="bottom"/>
          </w:tcPr>
          <w:p>
            <w:pPr>
              <w:spacing w:after="0"/>
              <w:rPr>
                <w:sz w:val="20"/>
                <w:szCs w:val="20"/>
                <w:color w:val="auto"/>
              </w:rPr>
            </w:pPr>
            <w:r>
              <w:rPr>
                <w:rFonts w:ascii="Arial" w:cs="Arial" w:eastAsia="Arial" w:hAnsi="Arial"/>
                <w:sz w:val="15"/>
                <w:szCs w:val="15"/>
                <w:color w:val="auto"/>
              </w:rPr>
              <w:t>Accelerated Stock Option</w:t>
            </w: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vMerge w:val="restart"/>
          </w:tcPr>
          <w:p>
            <w:pPr>
              <w:jc w:val="right"/>
              <w:ind w:right="3"/>
              <w:spacing w:after="0"/>
              <w:rPr>
                <w:sz w:val="20"/>
                <w:szCs w:val="20"/>
                <w:color w:val="auto"/>
              </w:rPr>
            </w:pPr>
            <w:r>
              <w:rPr>
                <w:rFonts w:ascii="Arial" w:cs="Arial" w:eastAsia="Arial" w:hAnsi="Arial"/>
                <w:sz w:val="15"/>
                <w:szCs w:val="15"/>
                <w:color w:val="auto"/>
              </w:rPr>
              <w:t>16,744,029</w:t>
            </w:r>
            <w:r>
              <w:rPr>
                <w:rFonts w:ascii="Arial" w:cs="Arial" w:eastAsia="Arial" w:hAnsi="Arial"/>
                <w:sz w:val="24"/>
                <w:szCs w:val="24"/>
                <w:color w:val="auto"/>
                <w:vertAlign w:val="superscript"/>
              </w:rPr>
              <w:t>(5)</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16,744,029</w:t>
            </w:r>
            <w:r>
              <w:rPr>
                <w:rFonts w:ascii="Arial" w:cs="Arial" w:eastAsia="Arial" w:hAnsi="Arial"/>
                <w:sz w:val="24"/>
                <w:szCs w:val="24"/>
                <w:color w:val="auto"/>
                <w:vertAlign w:val="superscript"/>
              </w:rPr>
              <w:t>(5)</w:t>
            </w:r>
          </w:p>
        </w:tc>
        <w:tc>
          <w:tcPr>
            <w:tcW w:w="0" w:type="dxa"/>
            <w:vAlign w:val="bottom"/>
          </w:tcPr>
          <w:p>
            <w:pPr>
              <w:spacing w:after="0"/>
              <w:rPr>
                <w:sz w:val="1"/>
                <w:szCs w:val="1"/>
                <w:color w:val="auto"/>
              </w:rPr>
            </w:pPr>
          </w:p>
        </w:tc>
      </w:tr>
      <w:tr>
        <w:trPr>
          <w:trHeight w:val="212"/>
        </w:trPr>
        <w:tc>
          <w:tcPr>
            <w:tcW w:w="1900" w:type="dxa"/>
            <w:vAlign w:val="bottom"/>
          </w:tcPr>
          <w:p>
            <w:pPr>
              <w:ind w:left="160"/>
              <w:spacing w:after="0"/>
              <w:rPr>
                <w:sz w:val="20"/>
                <w:szCs w:val="20"/>
                <w:color w:val="auto"/>
              </w:rPr>
            </w:pPr>
            <w:r>
              <w:rPr>
                <w:rFonts w:ascii="Arial" w:cs="Arial" w:eastAsia="Arial" w:hAnsi="Arial"/>
                <w:sz w:val="15"/>
                <w:szCs w:val="15"/>
                <w:color w:val="auto"/>
              </w:rPr>
              <w:t>Exercisability</w:t>
            </w:r>
          </w:p>
        </w:tc>
        <w:tc>
          <w:tcPr>
            <w:tcW w:w="11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00" w:type="dxa"/>
            <w:vAlign w:val="bottom"/>
            <w:shd w:val="clear" w:color="auto" w:fill="DFE4EA"/>
          </w:tcPr>
          <w:p>
            <w:pPr>
              <w:spacing w:after="0"/>
              <w:rPr>
                <w:sz w:val="20"/>
                <w:szCs w:val="20"/>
                <w:color w:val="auto"/>
              </w:rPr>
            </w:pPr>
            <w:r>
              <w:rPr>
                <w:rFonts w:ascii="Arial" w:cs="Arial" w:eastAsia="Arial" w:hAnsi="Arial"/>
                <w:sz w:val="15"/>
                <w:szCs w:val="15"/>
                <w:color w:val="auto"/>
              </w:rPr>
              <w:t>Accrued Vacation Pay</w:t>
            </w:r>
          </w:p>
        </w:tc>
        <w:tc>
          <w:tcPr>
            <w:tcW w:w="1160" w:type="dxa"/>
            <w:vAlign w:val="bottom"/>
            <w:shd w:val="clear" w:color="auto" w:fill="DFE4EA"/>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FE4EA"/>
          </w:tcPr>
          <w:p>
            <w:pPr>
              <w:jc w:val="right"/>
              <w:ind w:right="18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FE4EA"/>
          </w:tcPr>
          <w:p>
            <w:pPr>
              <w:jc w:val="right"/>
              <w:ind w:right="22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FE4EA"/>
          </w:tcPr>
          <w:p>
            <w:pPr>
              <w:jc w:val="right"/>
              <w:ind w:right="18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FE4EA"/>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FE4EA"/>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4"/>
        </w:trPr>
        <w:tc>
          <w:tcPr>
            <w:tcW w:w="1900" w:type="dxa"/>
            <w:vAlign w:val="bottom"/>
          </w:tcPr>
          <w:p>
            <w:pPr>
              <w:spacing w:after="0"/>
              <w:rPr>
                <w:sz w:val="20"/>
                <w:szCs w:val="20"/>
                <w:color w:val="auto"/>
              </w:rPr>
            </w:pPr>
            <w:r>
              <w:rPr>
                <w:rFonts w:ascii="Arial" w:cs="Arial" w:eastAsia="Arial" w:hAnsi="Arial"/>
                <w:sz w:val="15"/>
                <w:szCs w:val="15"/>
                <w:color w:val="auto"/>
              </w:rPr>
              <w:t>Medical Benefits</w:t>
            </w:r>
          </w:p>
        </w:tc>
        <w:tc>
          <w:tcPr>
            <w:tcW w:w="11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line="243" w:lineRule="exact"/>
              <w:rPr>
                <w:sz w:val="20"/>
                <w:szCs w:val="20"/>
                <w:color w:val="auto"/>
              </w:rPr>
            </w:pPr>
            <w:r>
              <w:rPr>
                <w:rFonts w:ascii="Arial" w:cs="Arial" w:eastAsia="Arial" w:hAnsi="Arial"/>
                <w:sz w:val="15"/>
                <w:szCs w:val="15"/>
                <w:color w:val="auto"/>
              </w:rPr>
              <w:t>45,511</w:t>
            </w:r>
            <w:r>
              <w:rPr>
                <w:rFonts w:ascii="Arial" w:cs="Arial" w:eastAsia="Arial" w:hAnsi="Arial"/>
                <w:sz w:val="24"/>
                <w:szCs w:val="24"/>
                <w:color w:val="auto"/>
                <w:vertAlign w:val="superscript"/>
              </w:rPr>
              <w:t>(6)</w:t>
            </w:r>
          </w:p>
        </w:tc>
        <w:tc>
          <w:tcPr>
            <w:tcW w:w="12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line="243" w:lineRule="exact"/>
              <w:rPr>
                <w:sz w:val="20"/>
                <w:szCs w:val="20"/>
                <w:color w:val="auto"/>
              </w:rPr>
            </w:pPr>
            <w:r>
              <w:rPr>
                <w:rFonts w:ascii="Arial" w:cs="Arial" w:eastAsia="Arial" w:hAnsi="Arial"/>
                <w:sz w:val="15"/>
                <w:szCs w:val="15"/>
                <w:color w:val="auto"/>
              </w:rPr>
              <w:t>45,511</w:t>
            </w:r>
            <w:r>
              <w:rPr>
                <w:rFonts w:ascii="Arial" w:cs="Arial" w:eastAsia="Arial" w:hAnsi="Arial"/>
                <w:sz w:val="24"/>
                <w:szCs w:val="24"/>
                <w:color w:val="auto"/>
                <w:vertAlign w:val="superscript"/>
              </w:rPr>
              <w:t>(6)</w:t>
            </w:r>
          </w:p>
        </w:tc>
        <w:tc>
          <w:tcPr>
            <w:tcW w:w="1040" w:type="dxa"/>
            <w:vAlign w:val="bottom"/>
          </w:tcPr>
          <w:p>
            <w:pPr>
              <w:jc w:val="right"/>
              <w:spacing w:after="0" w:line="243" w:lineRule="exact"/>
              <w:rPr>
                <w:sz w:val="20"/>
                <w:szCs w:val="20"/>
                <w:color w:val="auto"/>
              </w:rPr>
            </w:pPr>
            <w:r>
              <w:rPr>
                <w:rFonts w:ascii="Arial" w:cs="Arial" w:eastAsia="Arial" w:hAnsi="Arial"/>
                <w:sz w:val="15"/>
                <w:szCs w:val="15"/>
                <w:color w:val="auto"/>
              </w:rPr>
              <w:t>45,511</w:t>
            </w:r>
            <w:r>
              <w:rPr>
                <w:rFonts w:ascii="Arial" w:cs="Arial" w:eastAsia="Arial" w:hAnsi="Arial"/>
                <w:sz w:val="24"/>
                <w:szCs w:val="24"/>
                <w:color w:val="auto"/>
                <w:vertAlign w:val="superscript"/>
              </w:rPr>
              <w:t>(6)</w:t>
            </w:r>
          </w:p>
        </w:tc>
        <w:tc>
          <w:tcPr>
            <w:tcW w:w="12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line="243" w:lineRule="exact"/>
              <w:rPr>
                <w:sz w:val="20"/>
                <w:szCs w:val="20"/>
                <w:color w:val="auto"/>
              </w:rPr>
            </w:pPr>
            <w:r>
              <w:rPr>
                <w:rFonts w:ascii="Arial" w:cs="Arial" w:eastAsia="Arial" w:hAnsi="Arial"/>
                <w:sz w:val="15"/>
                <w:szCs w:val="15"/>
                <w:color w:val="auto"/>
              </w:rPr>
              <w:t>45,511</w:t>
            </w:r>
            <w:r>
              <w:rPr>
                <w:rFonts w:ascii="Arial" w:cs="Arial" w:eastAsia="Arial" w:hAnsi="Arial"/>
                <w:sz w:val="24"/>
                <w:szCs w:val="24"/>
                <w:color w:val="auto"/>
                <w:vertAlign w:val="superscript"/>
              </w:rPr>
              <w:t>(6)</w:t>
            </w:r>
          </w:p>
        </w:tc>
        <w:tc>
          <w:tcPr>
            <w:tcW w:w="0" w:type="dxa"/>
            <w:vAlign w:val="bottom"/>
          </w:tcPr>
          <w:p>
            <w:pPr>
              <w:spacing w:after="0"/>
              <w:rPr>
                <w:sz w:val="1"/>
                <w:szCs w:val="1"/>
                <w:color w:val="auto"/>
              </w:rPr>
            </w:pPr>
          </w:p>
        </w:tc>
      </w:tr>
      <w:tr>
        <w:trPr>
          <w:trHeight w:val="182"/>
        </w:trPr>
        <w:tc>
          <w:tcPr>
            <w:tcW w:w="1900" w:type="dxa"/>
            <w:vAlign w:val="bottom"/>
            <w:shd w:val="clear" w:color="auto" w:fill="DFE4EA"/>
          </w:tcPr>
          <w:p>
            <w:pPr>
              <w:spacing w:after="0"/>
              <w:rPr>
                <w:sz w:val="20"/>
                <w:szCs w:val="20"/>
                <w:color w:val="auto"/>
              </w:rPr>
            </w:pPr>
            <w:r>
              <w:rPr>
                <w:rFonts w:ascii="Arial" w:cs="Arial" w:eastAsia="Arial" w:hAnsi="Arial"/>
                <w:sz w:val="15"/>
                <w:szCs w:val="15"/>
                <w:color w:val="auto"/>
              </w:rPr>
              <w:t>Spread Value of Vested</w:t>
            </w:r>
          </w:p>
        </w:tc>
        <w:tc>
          <w:tcPr>
            <w:tcW w:w="1160" w:type="dxa"/>
            <w:vAlign w:val="bottom"/>
            <w:shd w:val="clear" w:color="auto" w:fill="DFE4EA"/>
          </w:tcPr>
          <w:p>
            <w:pPr>
              <w:spacing w:after="0"/>
              <w:rPr>
                <w:sz w:val="15"/>
                <w:szCs w:val="15"/>
                <w:color w:val="auto"/>
              </w:rPr>
            </w:pPr>
          </w:p>
        </w:tc>
        <w:tc>
          <w:tcPr>
            <w:tcW w:w="1220" w:type="dxa"/>
            <w:vAlign w:val="bottom"/>
            <w:shd w:val="clear" w:color="auto" w:fill="DFE4EA"/>
          </w:tcPr>
          <w:p>
            <w:pPr>
              <w:spacing w:after="0"/>
              <w:rPr>
                <w:sz w:val="15"/>
                <w:szCs w:val="15"/>
                <w:color w:val="auto"/>
              </w:rPr>
            </w:pPr>
          </w:p>
        </w:tc>
        <w:tc>
          <w:tcPr>
            <w:tcW w:w="1260" w:type="dxa"/>
            <w:vAlign w:val="bottom"/>
            <w:shd w:val="clear" w:color="auto" w:fill="DFE4EA"/>
          </w:tcPr>
          <w:p>
            <w:pPr>
              <w:spacing w:after="0"/>
              <w:rPr>
                <w:sz w:val="15"/>
                <w:szCs w:val="15"/>
                <w:color w:val="auto"/>
              </w:rPr>
            </w:pPr>
          </w:p>
        </w:tc>
        <w:tc>
          <w:tcPr>
            <w:tcW w:w="1120" w:type="dxa"/>
            <w:vAlign w:val="bottom"/>
            <w:shd w:val="clear" w:color="auto" w:fill="DFE4EA"/>
          </w:tcPr>
          <w:p>
            <w:pPr>
              <w:spacing w:after="0"/>
              <w:rPr>
                <w:sz w:val="15"/>
                <w:szCs w:val="15"/>
                <w:color w:val="auto"/>
              </w:rPr>
            </w:pPr>
          </w:p>
        </w:tc>
        <w:tc>
          <w:tcPr>
            <w:tcW w:w="1040" w:type="dxa"/>
            <w:vAlign w:val="bottom"/>
            <w:shd w:val="clear" w:color="auto" w:fill="DFE4EA"/>
          </w:tcPr>
          <w:p>
            <w:pPr>
              <w:spacing w:after="0"/>
              <w:rPr>
                <w:sz w:val="15"/>
                <w:szCs w:val="15"/>
                <w:color w:val="auto"/>
              </w:rPr>
            </w:pPr>
          </w:p>
        </w:tc>
        <w:tc>
          <w:tcPr>
            <w:tcW w:w="1240" w:type="dxa"/>
            <w:vAlign w:val="bottom"/>
            <w:shd w:val="clear" w:color="auto" w:fill="DFE4EA"/>
          </w:tcPr>
          <w:p>
            <w:pPr>
              <w:spacing w:after="0"/>
              <w:rPr>
                <w:sz w:val="15"/>
                <w:szCs w:val="15"/>
                <w:color w:val="auto"/>
              </w:rPr>
            </w:pPr>
          </w:p>
        </w:tc>
        <w:tc>
          <w:tcPr>
            <w:tcW w:w="1080" w:type="dxa"/>
            <w:vAlign w:val="bottom"/>
            <w:shd w:val="clear" w:color="auto" w:fill="DFE4EA"/>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DFE4EA"/>
          </w:tcPr>
          <w:p>
            <w:pPr>
              <w:ind w:left="160"/>
              <w:spacing w:after="0"/>
              <w:rPr>
                <w:sz w:val="20"/>
                <w:szCs w:val="20"/>
                <w:color w:val="auto"/>
              </w:rPr>
            </w:pPr>
            <w:r>
              <w:rPr>
                <w:rFonts w:ascii="Arial" w:cs="Arial" w:eastAsia="Arial" w:hAnsi="Arial"/>
                <w:sz w:val="15"/>
                <w:szCs w:val="15"/>
                <w:color w:val="auto"/>
              </w:rPr>
              <w:t>Options</w:t>
            </w:r>
          </w:p>
        </w:tc>
        <w:tc>
          <w:tcPr>
            <w:tcW w:w="1160" w:type="dxa"/>
            <w:vAlign w:val="bottom"/>
            <w:shd w:val="clear" w:color="auto" w:fill="DFE4EA"/>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FE4EA"/>
          </w:tcPr>
          <w:p>
            <w:pPr>
              <w:jc w:val="right"/>
              <w:ind w:right="18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FE4EA"/>
          </w:tcPr>
          <w:p>
            <w:pPr>
              <w:jc w:val="right"/>
              <w:ind w:right="22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FE4EA"/>
          </w:tcPr>
          <w:p>
            <w:pPr>
              <w:jc w:val="right"/>
              <w:ind w:right="18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FE4EA"/>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FE4EA"/>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1900" w:type="dxa"/>
            <w:vAlign w:val="bottom"/>
          </w:tcPr>
          <w:p>
            <w:pPr>
              <w:spacing w:after="0"/>
              <w:rPr>
                <w:sz w:val="20"/>
                <w:szCs w:val="20"/>
                <w:color w:val="auto"/>
              </w:rPr>
            </w:pPr>
            <w:r>
              <w:rPr>
                <w:rFonts w:ascii="Arial" w:cs="Arial" w:eastAsia="Arial" w:hAnsi="Arial"/>
                <w:sz w:val="15"/>
                <w:szCs w:val="15"/>
                <w:color w:val="auto"/>
              </w:rPr>
              <w:t>Accelerated Vesting of</w:t>
            </w: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00" w:type="dxa"/>
            <w:vAlign w:val="bottom"/>
          </w:tcPr>
          <w:p>
            <w:pPr>
              <w:ind w:left="160"/>
              <w:spacing w:after="0"/>
              <w:rPr>
                <w:sz w:val="20"/>
                <w:szCs w:val="20"/>
                <w:color w:val="auto"/>
              </w:rPr>
            </w:pPr>
            <w:r>
              <w:rPr>
                <w:rFonts w:ascii="Arial" w:cs="Arial" w:eastAsia="Arial" w:hAnsi="Arial"/>
                <w:sz w:val="15"/>
                <w:szCs w:val="15"/>
                <w:color w:val="auto"/>
              </w:rPr>
              <w:t>Restricted Stock and</w:t>
            </w: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00" w:type="dxa"/>
            <w:vAlign w:val="bottom"/>
          </w:tcPr>
          <w:p>
            <w:pPr>
              <w:ind w:left="160"/>
              <w:spacing w:after="0"/>
              <w:rPr>
                <w:sz w:val="20"/>
                <w:szCs w:val="20"/>
                <w:color w:val="auto"/>
              </w:rPr>
            </w:pPr>
            <w:r>
              <w:rPr>
                <w:rFonts w:ascii="Arial" w:cs="Arial" w:eastAsia="Arial" w:hAnsi="Arial"/>
                <w:sz w:val="15"/>
                <w:szCs w:val="15"/>
                <w:color w:val="auto"/>
              </w:rPr>
              <w:t>Performance Stock</w:t>
            </w: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vMerge w:val="restart"/>
          </w:tcPr>
          <w:p>
            <w:pPr>
              <w:jc w:val="right"/>
              <w:ind w:right="3"/>
              <w:spacing w:after="0"/>
              <w:rPr>
                <w:sz w:val="20"/>
                <w:szCs w:val="20"/>
                <w:color w:val="auto"/>
              </w:rPr>
            </w:pPr>
            <w:r>
              <w:rPr>
                <w:rFonts w:ascii="Arial" w:cs="Arial" w:eastAsia="Arial" w:hAnsi="Arial"/>
                <w:sz w:val="15"/>
                <w:szCs w:val="15"/>
                <w:color w:val="auto"/>
              </w:rPr>
              <w:t>15,880,307</w:t>
            </w:r>
            <w:r>
              <w:rPr>
                <w:rFonts w:ascii="Arial" w:cs="Arial" w:eastAsia="Arial" w:hAnsi="Arial"/>
                <w:sz w:val="24"/>
                <w:szCs w:val="24"/>
                <w:color w:val="auto"/>
                <w:vertAlign w:val="superscript"/>
              </w:rPr>
              <w:t>(7)</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15,880,307</w:t>
            </w:r>
            <w:r>
              <w:rPr>
                <w:rFonts w:ascii="Arial" w:cs="Arial" w:eastAsia="Arial" w:hAnsi="Arial"/>
                <w:sz w:val="24"/>
                <w:szCs w:val="24"/>
                <w:color w:val="auto"/>
                <w:vertAlign w:val="superscript"/>
              </w:rPr>
              <w:t>(7)</w:t>
            </w:r>
          </w:p>
        </w:tc>
        <w:tc>
          <w:tcPr>
            <w:tcW w:w="0" w:type="dxa"/>
            <w:vAlign w:val="bottom"/>
          </w:tcPr>
          <w:p>
            <w:pPr>
              <w:spacing w:after="0"/>
              <w:rPr>
                <w:sz w:val="1"/>
                <w:szCs w:val="1"/>
                <w:color w:val="auto"/>
              </w:rPr>
            </w:pPr>
          </w:p>
        </w:tc>
      </w:tr>
      <w:tr>
        <w:trPr>
          <w:trHeight w:val="212"/>
        </w:trPr>
        <w:tc>
          <w:tcPr>
            <w:tcW w:w="1900" w:type="dxa"/>
            <w:vAlign w:val="bottom"/>
          </w:tcPr>
          <w:p>
            <w:pPr>
              <w:ind w:left="160"/>
              <w:spacing w:after="0"/>
              <w:rPr>
                <w:sz w:val="20"/>
                <w:szCs w:val="20"/>
                <w:color w:val="auto"/>
              </w:rPr>
            </w:pPr>
            <w:r>
              <w:rPr>
                <w:rFonts w:ascii="Arial" w:cs="Arial" w:eastAsia="Arial" w:hAnsi="Arial"/>
                <w:sz w:val="15"/>
                <w:szCs w:val="15"/>
                <w:color w:val="auto"/>
              </w:rPr>
              <w:t>Units</w:t>
            </w:r>
          </w:p>
        </w:tc>
        <w:tc>
          <w:tcPr>
            <w:tcW w:w="11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00" w:type="dxa"/>
            <w:vAlign w:val="bottom"/>
            <w:shd w:val="clear" w:color="auto" w:fill="DFE4EA"/>
          </w:tcPr>
          <w:p>
            <w:pPr>
              <w:spacing w:after="0"/>
              <w:rPr>
                <w:sz w:val="20"/>
                <w:szCs w:val="20"/>
                <w:color w:val="auto"/>
              </w:rPr>
            </w:pPr>
            <w:r>
              <w:rPr>
                <w:rFonts w:ascii="Arial" w:cs="Arial" w:eastAsia="Arial" w:hAnsi="Arial"/>
                <w:sz w:val="15"/>
                <w:szCs w:val="15"/>
                <w:b w:val="1"/>
                <w:bCs w:val="1"/>
                <w:color w:val="auto"/>
              </w:rPr>
              <w:t>Total</w:t>
            </w:r>
          </w:p>
        </w:tc>
        <w:tc>
          <w:tcPr>
            <w:tcW w:w="1160" w:type="dxa"/>
            <w:vAlign w:val="bottom"/>
            <w:shd w:val="clear" w:color="auto" w:fill="DFE4EA"/>
          </w:tcPr>
          <w:p>
            <w:pPr>
              <w:jc w:val="right"/>
              <w:ind w:right="103"/>
              <w:spacing w:after="0"/>
              <w:rPr>
                <w:sz w:val="20"/>
                <w:szCs w:val="20"/>
                <w:color w:val="auto"/>
              </w:rPr>
            </w:pPr>
            <w:r>
              <w:rPr>
                <w:rFonts w:ascii="Arial" w:cs="Arial" w:eastAsia="Arial" w:hAnsi="Arial"/>
                <w:sz w:val="15"/>
                <w:szCs w:val="15"/>
                <w:b w:val="1"/>
                <w:bCs w:val="1"/>
                <w:color w:val="auto"/>
              </w:rPr>
              <w:t>991,368</w:t>
            </w:r>
          </w:p>
        </w:tc>
        <w:tc>
          <w:tcPr>
            <w:tcW w:w="1220" w:type="dxa"/>
            <w:vAlign w:val="bottom"/>
            <w:shd w:val="clear" w:color="auto" w:fill="DFE4EA"/>
          </w:tcPr>
          <w:p>
            <w:pPr>
              <w:jc w:val="right"/>
              <w:ind w:right="183"/>
              <w:spacing w:after="0"/>
              <w:rPr>
                <w:sz w:val="20"/>
                <w:szCs w:val="20"/>
                <w:color w:val="auto"/>
              </w:rPr>
            </w:pPr>
            <w:r>
              <w:rPr>
                <w:rFonts w:ascii="Arial" w:cs="Arial" w:eastAsia="Arial" w:hAnsi="Arial"/>
                <w:sz w:val="15"/>
                <w:szCs w:val="15"/>
                <w:b w:val="1"/>
                <w:bCs w:val="1"/>
                <w:color w:val="auto"/>
              </w:rPr>
              <w:t>2,871,691</w:t>
            </w:r>
          </w:p>
        </w:tc>
        <w:tc>
          <w:tcPr>
            <w:tcW w:w="1260" w:type="dxa"/>
            <w:vAlign w:val="bottom"/>
            <w:shd w:val="clear" w:color="auto" w:fill="DFE4EA"/>
          </w:tcPr>
          <w:p>
            <w:pPr>
              <w:jc w:val="right"/>
              <w:ind w:right="223"/>
              <w:spacing w:after="0"/>
              <w:rPr>
                <w:sz w:val="20"/>
                <w:szCs w:val="20"/>
                <w:color w:val="auto"/>
              </w:rPr>
            </w:pPr>
            <w:r>
              <w:rPr>
                <w:rFonts w:ascii="Arial" w:cs="Arial" w:eastAsia="Arial" w:hAnsi="Arial"/>
                <w:sz w:val="15"/>
                <w:szCs w:val="15"/>
                <w:b w:val="1"/>
                <w:bCs w:val="1"/>
                <w:color w:val="auto"/>
              </w:rPr>
              <w:t>991,368</w:t>
            </w:r>
          </w:p>
        </w:tc>
        <w:tc>
          <w:tcPr>
            <w:tcW w:w="1120" w:type="dxa"/>
            <w:vAlign w:val="bottom"/>
            <w:shd w:val="clear" w:color="auto" w:fill="DFE4EA"/>
          </w:tcPr>
          <w:p>
            <w:pPr>
              <w:jc w:val="right"/>
              <w:ind w:right="183"/>
              <w:spacing w:after="0"/>
              <w:rPr>
                <w:sz w:val="20"/>
                <w:szCs w:val="20"/>
                <w:color w:val="auto"/>
              </w:rPr>
            </w:pPr>
            <w:r>
              <w:rPr>
                <w:rFonts w:ascii="Arial" w:cs="Arial" w:eastAsia="Arial" w:hAnsi="Arial"/>
                <w:sz w:val="15"/>
                <w:szCs w:val="15"/>
                <w:b w:val="1"/>
                <w:bCs w:val="1"/>
                <w:color w:val="auto"/>
              </w:rPr>
              <w:t>1,036,879</w:t>
            </w:r>
          </w:p>
        </w:tc>
        <w:tc>
          <w:tcPr>
            <w:tcW w:w="1040" w:type="dxa"/>
            <w:vAlign w:val="bottom"/>
            <w:shd w:val="clear" w:color="auto" w:fill="DFE4EA"/>
          </w:tcPr>
          <w:p>
            <w:pPr>
              <w:jc w:val="right"/>
              <w:ind w:right="63"/>
              <w:spacing w:after="0"/>
              <w:rPr>
                <w:sz w:val="20"/>
                <w:szCs w:val="20"/>
                <w:color w:val="auto"/>
              </w:rPr>
            </w:pPr>
            <w:r>
              <w:rPr>
                <w:rFonts w:ascii="Arial" w:cs="Arial" w:eastAsia="Arial" w:hAnsi="Arial"/>
                <w:sz w:val="15"/>
                <w:szCs w:val="15"/>
                <w:b w:val="1"/>
                <w:bCs w:val="1"/>
                <w:color w:val="auto"/>
              </w:rPr>
              <w:t>1,036,879</w:t>
            </w:r>
          </w:p>
        </w:tc>
        <w:tc>
          <w:tcPr>
            <w:tcW w:w="1240" w:type="dxa"/>
            <w:vAlign w:val="bottom"/>
            <w:shd w:val="clear" w:color="auto" w:fill="DFE4EA"/>
          </w:tcPr>
          <w:p>
            <w:pPr>
              <w:jc w:val="right"/>
              <w:ind w:right="103"/>
              <w:spacing w:after="0"/>
              <w:rPr>
                <w:sz w:val="20"/>
                <w:szCs w:val="20"/>
                <w:color w:val="auto"/>
              </w:rPr>
            </w:pPr>
            <w:r>
              <w:rPr>
                <w:rFonts w:ascii="Arial" w:cs="Arial" w:eastAsia="Arial" w:hAnsi="Arial"/>
                <w:sz w:val="15"/>
                <w:szCs w:val="15"/>
                <w:b w:val="1"/>
                <w:bCs w:val="1"/>
                <w:color w:val="auto"/>
              </w:rPr>
              <w:t>32,624,336</w:t>
            </w:r>
          </w:p>
        </w:tc>
        <w:tc>
          <w:tcPr>
            <w:tcW w:w="1080" w:type="dxa"/>
            <w:vAlign w:val="bottom"/>
            <w:shd w:val="clear" w:color="auto" w:fill="DFE4EA"/>
          </w:tcPr>
          <w:p>
            <w:pPr>
              <w:jc w:val="right"/>
              <w:ind w:right="23"/>
              <w:spacing w:after="0"/>
              <w:rPr>
                <w:sz w:val="20"/>
                <w:szCs w:val="20"/>
                <w:color w:val="auto"/>
              </w:rPr>
            </w:pPr>
            <w:r>
              <w:rPr>
                <w:rFonts w:ascii="Arial" w:cs="Arial" w:eastAsia="Arial" w:hAnsi="Arial"/>
                <w:sz w:val="15"/>
                <w:szCs w:val="15"/>
                <w:b w:val="1"/>
                <w:bCs w:val="1"/>
                <w:color w:val="auto"/>
              </w:rPr>
              <w:t>37,380,147</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220" w:hanging="219"/>
        <w:spacing w:after="0" w:line="200" w:lineRule="auto"/>
        <w:tabs>
          <w:tab w:leader="none" w:pos="22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This table assumes that all termination and change of control events occurred on December 31, 2025. See Employment, Separation and Release, and Change of Control Agreements – Employment Agreement with J. Patrick Mackin above at page 50 for a description of the Mackin Agreement.</w:t>
      </w:r>
    </w:p>
    <w:p>
      <w:pPr>
        <w:spacing w:after="0" w:line="118"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the Company-performance component of the 2025 annual incentive plan cash bonus that Mr. Mackin was entitled to on December 31, 2025. No amount is included for the personal performance component of the annual incentive plan.</w:t>
      </w:r>
    </w:p>
    <w:p>
      <w:pPr>
        <w:spacing w:after="0" w:line="118"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1.5x the sum of Mr. Mackin’s 2025 annual base salary and his entire cash bonus for 2024, as the 2025 bonus had not been determined or distributed as of December 31, 2025. The Mackin Agreement provides for severance payments to be paid in 18 monthly installments, beginning 30 days following the employment termination date (subject to any delay in payment necessary to comply with Section 409A of the Code). Mr. Mackin’s estate would receive these severance payments upon his subsequent death.</w:t>
      </w:r>
    </w:p>
    <w:p>
      <w:pPr>
        <w:spacing w:after="0" w:line="108" w:lineRule="exact"/>
        <w:rPr>
          <w:rFonts w:ascii="Arial" w:cs="Arial" w:eastAsia="Arial" w:hAnsi="Arial"/>
          <w:sz w:val="22"/>
          <w:szCs w:val="22"/>
          <w:color w:val="auto"/>
          <w:vertAlign w:val="superscript"/>
        </w:rPr>
      </w:pPr>
    </w:p>
    <w:p>
      <w:pPr>
        <w:jc w:val="both"/>
        <w:ind w:left="220" w:hanging="219"/>
        <w:spacing w:after="0" w:line="223" w:lineRule="auto"/>
        <w:tabs>
          <w:tab w:leader="none" w:pos="22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Amount shown is equal to 2.5x the sum of Mr. Mackin’s 2025 annual base salary and his entire 2024 bonus, as the 2025 bonus had not been determined or distributed as of December 31, 2025. The Mackin Agreement provides for severance payments to be paid in 18 monthly installments, beginning 30 days following the employment termination date (subject to any delay in payment necessary to comply with Section 409A of the Code). This scenario assumes that following the change of control, Mr. Mackin terminated his employment for good reason, or we terminated his employment without cause. Mr. Mackin would also receive the amount shown if we terminated his employment without cause at any time within the six months prior to the change of control.</w:t>
      </w:r>
    </w:p>
    <w:p>
      <w:pPr>
        <w:spacing w:after="0" w:line="117"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The 2020 ECIP provides that the exercisability of outstanding options accelerates upon a change of control. The accelerated options had value on December 31, 2025, to the extent that the exercise prices of the options were lower than the closing price of our common stock on the NYSE on December 31, 2025, of $45.61. The value for each option is calculated as the difference between the exercise price of the option and the closing price of our common stock at the end of the fiscal year, to the extent positive.</w:t>
      </w:r>
    </w:p>
    <w:p>
      <w:pPr>
        <w:spacing w:after="0" w:line="120"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Under the terms of the Mackin Agreement, if Mr. Mackin terminates his employment for good reason, we terminate his employment without cause, or he dies or becomes disabled, we would continue to provide him and his family with health benefits coverage, at our expense, for up to 18 months (or until he is provided comparable benefits by another employer). Amount shown represents the value of 18 months of coverage under our health plans, using costs in effect as of December 31, 2025.</w:t>
      </w:r>
    </w:p>
    <w:p>
      <w:pPr>
        <w:spacing w:after="0" w:line="108"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The 2020 ECIP provides that all unvested shares of restricted stock and performance stock units become fully vested upon a change of control. The accelerated restricted stock and performance stock units are valued at the closing price of our common stock on the NYSE on December 31, 2025, of $45.61, and the 2025 performance stock units are assumed to have been earned at target level.</w:t>
      </w:r>
    </w:p>
    <w:p>
      <w:pPr>
        <w:spacing w:after="0" w:line="118"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Under the terms of the Mackin Agreement, amounts shown that are otherwise payable to Mr. Mackin would be reduced if and to the extent that doing so would cause payments that are contingent on a change of control to not be subject to the excise tax under Section 4999 of the Code and thereby produce a greater net after-tax amount to him.</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5"/>
          <w:szCs w:val="15"/>
          <w:b w:val="1"/>
          <w:bCs w:val="1"/>
          <w:color w:val="auto"/>
        </w:rPr>
        <w:t>Lance A. Berry, Executive Vice President and Chief Financial Officer</w:t>
      </w:r>
      <w:r>
        <w:rPr>
          <w:rFonts w:ascii="Arial" w:cs="Arial" w:eastAsia="Arial" w:hAnsi="Arial"/>
          <w:sz w:val="24"/>
          <w:szCs w:val="24"/>
          <w:b w:val="1"/>
          <w:bCs w:val="1"/>
          <w:color w:val="auto"/>
          <w:vertAlign w:val="superscript"/>
        </w:rPr>
        <w:t>(1)</w:t>
      </w:r>
    </w:p>
    <w:p>
      <w:pPr>
        <w:spacing w:after="0" w:line="98"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auto"/>
        </w:rPr>
        <w:t>Executive Officer Benefits and Payments Upon Termination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35635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56350" cy="762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Certain</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Termination</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Events</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jc w:val="center"/>
              <w:ind w:right="43"/>
              <w:spacing w:after="0"/>
              <w:rPr>
                <w:sz w:val="20"/>
                <w:szCs w:val="20"/>
                <w:color w:val="auto"/>
              </w:rPr>
            </w:pPr>
            <w:r>
              <w:rPr>
                <w:rFonts w:ascii="Arial" w:cs="Arial" w:eastAsia="Arial" w:hAnsi="Arial"/>
                <w:sz w:val="15"/>
                <w:szCs w:val="15"/>
                <w:b w:val="1"/>
                <w:bCs w:val="1"/>
                <w:color w:val="auto"/>
              </w:rPr>
              <w:t>Good Reason</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jc w:val="center"/>
              <w:ind w:right="3"/>
              <w:spacing w:after="0"/>
              <w:rPr>
                <w:sz w:val="20"/>
                <w:szCs w:val="20"/>
                <w:color w:val="auto"/>
              </w:rPr>
            </w:pPr>
            <w:r>
              <w:rPr>
                <w:rFonts w:ascii="Arial" w:cs="Arial" w:eastAsia="Arial" w:hAnsi="Arial"/>
                <w:sz w:val="15"/>
                <w:szCs w:val="15"/>
                <w:b w:val="1"/>
                <w:bCs w:val="1"/>
                <w:color w:val="auto"/>
              </w:rPr>
              <w:t>Change of</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Following/</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jc w:val="center"/>
              <w:ind w:right="43"/>
              <w:spacing w:after="0"/>
              <w:rPr>
                <w:sz w:val="20"/>
                <w:szCs w:val="20"/>
                <w:color w:val="auto"/>
              </w:rPr>
            </w:pPr>
            <w:r>
              <w:rPr>
                <w:rFonts w:ascii="Arial" w:cs="Arial" w:eastAsia="Arial" w:hAnsi="Arial"/>
                <w:sz w:val="15"/>
                <w:szCs w:val="15"/>
                <w:b w:val="1"/>
                <w:bCs w:val="1"/>
                <w:color w:val="auto"/>
              </w:rPr>
              <w:t>or Involuntary</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jc w:val="center"/>
              <w:ind w:right="3"/>
              <w:spacing w:after="0"/>
              <w:rPr>
                <w:sz w:val="20"/>
                <w:szCs w:val="20"/>
                <w:color w:val="auto"/>
              </w:rPr>
            </w:pPr>
            <w:r>
              <w:rPr>
                <w:rFonts w:ascii="Arial" w:cs="Arial" w:eastAsia="Arial" w:hAnsi="Arial"/>
                <w:sz w:val="15"/>
                <w:szCs w:val="15"/>
                <w:b w:val="1"/>
                <w:bCs w:val="1"/>
                <w:color w:val="auto"/>
              </w:rPr>
              <w:t>Control</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Preceding a</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Arial" w:cs="Arial" w:eastAsia="Arial" w:hAnsi="Arial"/>
                <w:sz w:val="15"/>
                <w:szCs w:val="15"/>
                <w:b w:val="1"/>
                <w:bCs w:val="1"/>
                <w:color w:val="auto"/>
              </w:rPr>
              <w:t>Voluntary</w:t>
            </w:r>
          </w:p>
        </w:tc>
        <w:tc>
          <w:tcPr>
            <w:tcW w:w="1200" w:type="dxa"/>
            <w:vAlign w:val="bottom"/>
          </w:tcPr>
          <w:p>
            <w:pPr>
              <w:jc w:val="center"/>
              <w:ind w:right="43"/>
              <w:spacing w:after="0"/>
              <w:rPr>
                <w:sz w:val="20"/>
                <w:szCs w:val="20"/>
                <w:color w:val="auto"/>
              </w:rPr>
            </w:pPr>
            <w:r>
              <w:rPr>
                <w:rFonts w:ascii="Arial" w:cs="Arial" w:eastAsia="Arial" w:hAnsi="Arial"/>
                <w:sz w:val="15"/>
                <w:szCs w:val="15"/>
                <w:b w:val="1"/>
                <w:bCs w:val="1"/>
                <w:color w:val="auto"/>
              </w:rPr>
              <w:t>Not for Cause</w:t>
            </w:r>
          </w:p>
        </w:tc>
        <w:tc>
          <w:tcPr>
            <w:tcW w:w="1280" w:type="dxa"/>
            <w:vAlign w:val="bottom"/>
          </w:tcPr>
          <w:p>
            <w:pPr>
              <w:jc w:val="right"/>
              <w:ind w:right="303"/>
              <w:spacing w:after="0"/>
              <w:rPr>
                <w:sz w:val="20"/>
                <w:szCs w:val="20"/>
                <w:color w:val="auto"/>
              </w:rPr>
            </w:pPr>
            <w:r>
              <w:rPr>
                <w:rFonts w:ascii="Arial" w:cs="Arial" w:eastAsia="Arial" w:hAnsi="Arial"/>
                <w:sz w:val="15"/>
                <w:szCs w:val="15"/>
                <w:b w:val="1"/>
                <w:bCs w:val="1"/>
                <w:color w:val="auto"/>
              </w:rPr>
              <w:t>For Cause</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jc w:val="center"/>
              <w:ind w:right="3"/>
              <w:spacing w:after="0"/>
              <w:rPr>
                <w:sz w:val="20"/>
                <w:szCs w:val="20"/>
                <w:color w:val="auto"/>
              </w:rPr>
            </w:pPr>
            <w:r>
              <w:rPr>
                <w:rFonts w:ascii="Arial" w:cs="Arial" w:eastAsia="Arial" w:hAnsi="Arial"/>
                <w:sz w:val="15"/>
                <w:szCs w:val="15"/>
                <w:b w:val="1"/>
                <w:bCs w:val="1"/>
                <w:color w:val="auto"/>
              </w:rPr>
              <w:t>Without Regard</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Change of</w:t>
            </w:r>
          </w:p>
        </w:tc>
        <w:tc>
          <w:tcPr>
            <w:tcW w:w="0" w:type="dxa"/>
            <w:vAlign w:val="bottom"/>
          </w:tcPr>
          <w:p>
            <w:pPr>
              <w:spacing w:after="0"/>
              <w:rPr>
                <w:sz w:val="1"/>
                <w:szCs w:val="1"/>
                <w:color w:val="auto"/>
              </w:rPr>
            </w:pPr>
          </w:p>
        </w:tc>
      </w:tr>
      <w:tr>
        <w:trPr>
          <w:trHeight w:val="198"/>
        </w:trPr>
        <w:tc>
          <w:tcPr>
            <w:tcW w:w="1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Termination</w:t>
            </w:r>
          </w:p>
        </w:tc>
        <w:tc>
          <w:tcPr>
            <w:tcW w:w="120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rPr>
              <w:t>Termination</w:t>
            </w:r>
          </w:p>
        </w:tc>
        <w:tc>
          <w:tcPr>
            <w:tcW w:w="12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Termination</w:t>
            </w: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Death</w:t>
            </w: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Disability</w:t>
            </w:r>
          </w:p>
        </w:tc>
        <w:tc>
          <w:tcPr>
            <w:tcW w:w="122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to Termination</w:t>
            </w:r>
          </w:p>
        </w:tc>
        <w:tc>
          <w:tcPr>
            <w:tcW w:w="110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Control</w:t>
            </w:r>
          </w:p>
        </w:tc>
        <w:tc>
          <w:tcPr>
            <w:tcW w:w="0" w:type="dxa"/>
            <w:vAlign w:val="bottom"/>
          </w:tcPr>
          <w:p>
            <w:pPr>
              <w:spacing w:after="0"/>
              <w:rPr>
                <w:sz w:val="1"/>
                <w:szCs w:val="1"/>
                <w:color w:val="auto"/>
              </w:rPr>
            </w:pPr>
          </w:p>
        </w:tc>
      </w:tr>
      <w:tr>
        <w:trPr>
          <w:trHeight w:val="251"/>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Cash Compensation</w:t>
            </w:r>
          </w:p>
        </w:tc>
        <w:tc>
          <w:tcPr>
            <w:tcW w:w="120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400,194</w:t>
            </w:r>
            <w:r>
              <w:rPr>
                <w:rFonts w:ascii="Arial" w:cs="Arial" w:eastAsia="Arial" w:hAnsi="Arial"/>
                <w:sz w:val="24"/>
                <w:szCs w:val="24"/>
                <w:color w:val="auto"/>
                <w:vertAlign w:val="superscript"/>
              </w:rPr>
              <w:t>(2)</w:t>
            </w:r>
          </w:p>
        </w:tc>
        <w:tc>
          <w:tcPr>
            <w:tcW w:w="1200" w:type="dxa"/>
            <w:vAlign w:val="bottom"/>
            <w:shd w:val="clear" w:color="auto" w:fill="DFE4EA"/>
          </w:tcPr>
          <w:p>
            <w:pPr>
              <w:jc w:val="right"/>
              <w:ind w:right="3"/>
              <w:spacing w:after="0" w:line="251" w:lineRule="exact"/>
              <w:rPr>
                <w:sz w:val="20"/>
                <w:szCs w:val="20"/>
                <w:color w:val="auto"/>
              </w:rPr>
            </w:pPr>
            <w:r>
              <w:rPr>
                <w:rFonts w:ascii="Arial" w:cs="Arial" w:eastAsia="Arial" w:hAnsi="Arial"/>
                <w:sz w:val="15"/>
                <w:szCs w:val="15"/>
                <w:color w:val="auto"/>
              </w:rPr>
              <w:t>400,194</w:t>
            </w:r>
            <w:r>
              <w:rPr>
                <w:rFonts w:ascii="Arial" w:cs="Arial" w:eastAsia="Arial" w:hAnsi="Arial"/>
                <w:sz w:val="24"/>
                <w:szCs w:val="24"/>
                <w:color w:val="auto"/>
                <w:vertAlign w:val="superscript"/>
              </w:rPr>
              <w:t>(2)</w:t>
            </w:r>
          </w:p>
        </w:tc>
        <w:tc>
          <w:tcPr>
            <w:tcW w:w="1280" w:type="dxa"/>
            <w:vAlign w:val="bottom"/>
            <w:shd w:val="clear" w:color="auto" w:fill="DFE4EA"/>
          </w:tcPr>
          <w:p>
            <w:pPr>
              <w:jc w:val="right"/>
              <w:ind w:right="103"/>
              <w:spacing w:after="0" w:line="251" w:lineRule="exact"/>
              <w:rPr>
                <w:sz w:val="20"/>
                <w:szCs w:val="20"/>
                <w:color w:val="auto"/>
              </w:rPr>
            </w:pPr>
            <w:r>
              <w:rPr>
                <w:rFonts w:ascii="Arial" w:cs="Arial" w:eastAsia="Arial" w:hAnsi="Arial"/>
                <w:sz w:val="15"/>
                <w:szCs w:val="15"/>
                <w:color w:val="auto"/>
              </w:rPr>
              <w:t>400,194</w:t>
            </w:r>
            <w:r>
              <w:rPr>
                <w:rFonts w:ascii="Arial" w:cs="Arial" w:eastAsia="Arial" w:hAnsi="Arial"/>
                <w:sz w:val="24"/>
                <w:szCs w:val="24"/>
                <w:color w:val="auto"/>
                <w:vertAlign w:val="superscript"/>
              </w:rPr>
              <w:t>(2)</w:t>
            </w:r>
          </w:p>
        </w:tc>
        <w:tc>
          <w:tcPr>
            <w:tcW w:w="1100" w:type="dxa"/>
            <w:vAlign w:val="bottom"/>
            <w:shd w:val="clear" w:color="auto" w:fill="DFE4EA"/>
          </w:tcPr>
          <w:p>
            <w:pPr>
              <w:jc w:val="right"/>
              <w:ind w:right="23"/>
              <w:spacing w:after="0" w:line="251" w:lineRule="exact"/>
              <w:rPr>
                <w:sz w:val="20"/>
                <w:szCs w:val="20"/>
                <w:color w:val="auto"/>
              </w:rPr>
            </w:pPr>
            <w:r>
              <w:rPr>
                <w:rFonts w:ascii="Arial" w:cs="Arial" w:eastAsia="Arial" w:hAnsi="Arial"/>
                <w:sz w:val="15"/>
                <w:szCs w:val="15"/>
                <w:color w:val="auto"/>
              </w:rPr>
              <w:t>400,194</w:t>
            </w:r>
            <w:r>
              <w:rPr>
                <w:rFonts w:ascii="Arial" w:cs="Arial" w:eastAsia="Arial" w:hAnsi="Arial"/>
                <w:sz w:val="24"/>
                <w:szCs w:val="24"/>
                <w:color w:val="auto"/>
                <w:vertAlign w:val="superscript"/>
              </w:rPr>
              <w:t>(2)</w:t>
            </w:r>
          </w:p>
        </w:tc>
        <w:tc>
          <w:tcPr>
            <w:tcW w:w="106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400,194</w:t>
            </w:r>
            <w:r>
              <w:rPr>
                <w:rFonts w:ascii="Arial" w:cs="Arial" w:eastAsia="Arial" w:hAnsi="Arial"/>
                <w:sz w:val="24"/>
                <w:szCs w:val="24"/>
                <w:color w:val="auto"/>
                <w:vertAlign w:val="superscript"/>
              </w:rPr>
              <w:t>(2)</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1,395,000</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20"/>
                <w:szCs w:val="20"/>
                <w:color w:val="auto"/>
              </w:rPr>
            </w:pPr>
            <w:r>
              <w:rPr>
                <w:rFonts w:ascii="Arial" w:cs="Arial" w:eastAsia="Arial" w:hAnsi="Arial"/>
                <w:sz w:val="15"/>
                <w:szCs w:val="15"/>
                <w:color w:val="auto"/>
              </w:rPr>
              <w:t>Accelerated Stock Option</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2,601,125</w:t>
            </w:r>
            <w:r>
              <w:rPr>
                <w:rFonts w:ascii="Arial" w:cs="Arial" w:eastAsia="Arial" w:hAnsi="Arial"/>
                <w:sz w:val="24"/>
                <w:szCs w:val="24"/>
                <w:color w:val="auto"/>
                <w:vertAlign w:val="superscript"/>
              </w:rPr>
              <w:t>(4)</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2,601,125</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r>
        <w:trPr>
          <w:trHeight w:val="212"/>
        </w:trPr>
        <w:tc>
          <w:tcPr>
            <w:tcW w:w="1860" w:type="dxa"/>
            <w:vAlign w:val="bottom"/>
          </w:tcPr>
          <w:p>
            <w:pPr>
              <w:ind w:left="160"/>
              <w:spacing w:after="0"/>
              <w:rPr>
                <w:sz w:val="20"/>
                <w:szCs w:val="20"/>
                <w:color w:val="auto"/>
              </w:rPr>
            </w:pPr>
            <w:r>
              <w:rPr>
                <w:rFonts w:ascii="Arial" w:cs="Arial" w:eastAsia="Arial" w:hAnsi="Arial"/>
                <w:sz w:val="15"/>
                <w:szCs w:val="15"/>
                <w:color w:val="auto"/>
              </w:rPr>
              <w:t>Exercisability</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Accrued Vacation Pay</w:t>
            </w:r>
          </w:p>
        </w:tc>
        <w:tc>
          <w:tcPr>
            <w:tcW w:w="1200" w:type="dxa"/>
            <w:vAlign w:val="bottom"/>
            <w:shd w:val="clear" w:color="auto" w:fill="DFE4EA"/>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FE4EA"/>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FE4EA"/>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4"/>
        </w:trPr>
        <w:tc>
          <w:tcPr>
            <w:tcW w:w="1860" w:type="dxa"/>
            <w:vAlign w:val="bottom"/>
          </w:tcPr>
          <w:p>
            <w:pPr>
              <w:spacing w:after="0"/>
              <w:rPr>
                <w:sz w:val="20"/>
                <w:szCs w:val="20"/>
                <w:color w:val="auto"/>
              </w:rPr>
            </w:pPr>
            <w:r>
              <w:rPr>
                <w:rFonts w:ascii="Arial" w:cs="Arial" w:eastAsia="Arial" w:hAnsi="Arial"/>
                <w:sz w:val="15"/>
                <w:szCs w:val="15"/>
                <w:color w:val="auto"/>
              </w:rPr>
              <w:t>Medical Benefits</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3"/>
              <w:spacing w:after="0" w:line="243" w:lineRule="exact"/>
              <w:rPr>
                <w:sz w:val="20"/>
                <w:szCs w:val="20"/>
                <w:color w:val="auto"/>
              </w:rPr>
            </w:pPr>
            <w:r>
              <w:rPr>
                <w:rFonts w:ascii="Arial" w:cs="Arial" w:eastAsia="Arial" w:hAnsi="Arial"/>
                <w:sz w:val="15"/>
                <w:szCs w:val="15"/>
                <w:color w:val="auto"/>
              </w:rPr>
              <w:t>45,602</w:t>
            </w:r>
            <w:r>
              <w:rPr>
                <w:rFonts w:ascii="Arial" w:cs="Arial" w:eastAsia="Arial" w:hAnsi="Arial"/>
                <w:sz w:val="24"/>
                <w:szCs w:val="24"/>
                <w:color w:val="auto"/>
                <w:vertAlign w:val="superscript"/>
              </w:rPr>
              <w:t>(5)</w:t>
            </w:r>
          </w:p>
        </w:tc>
        <w:tc>
          <w:tcPr>
            <w:tcW w:w="12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line="243" w:lineRule="exact"/>
              <w:rPr>
                <w:sz w:val="20"/>
                <w:szCs w:val="20"/>
                <w:color w:val="auto"/>
              </w:rPr>
            </w:pPr>
            <w:r>
              <w:rPr>
                <w:rFonts w:ascii="Arial" w:cs="Arial" w:eastAsia="Arial" w:hAnsi="Arial"/>
                <w:sz w:val="15"/>
                <w:szCs w:val="15"/>
                <w:color w:val="auto"/>
              </w:rPr>
              <w:t>45,602</w:t>
            </w:r>
            <w:r>
              <w:rPr>
                <w:rFonts w:ascii="Arial" w:cs="Arial" w:eastAsia="Arial" w:hAnsi="Arial"/>
                <w:sz w:val="24"/>
                <w:szCs w:val="24"/>
                <w:color w:val="auto"/>
                <w:vertAlign w:val="superscript"/>
              </w:rPr>
              <w:t>(5)</w:t>
            </w:r>
          </w:p>
        </w:tc>
        <w:tc>
          <w:tcPr>
            <w:tcW w:w="1060" w:type="dxa"/>
            <w:vAlign w:val="bottom"/>
          </w:tcPr>
          <w:p>
            <w:pPr>
              <w:jc w:val="right"/>
              <w:spacing w:after="0" w:line="243" w:lineRule="exact"/>
              <w:rPr>
                <w:sz w:val="20"/>
                <w:szCs w:val="20"/>
                <w:color w:val="auto"/>
              </w:rPr>
            </w:pPr>
            <w:r>
              <w:rPr>
                <w:rFonts w:ascii="Arial" w:cs="Arial" w:eastAsia="Arial" w:hAnsi="Arial"/>
                <w:sz w:val="15"/>
                <w:szCs w:val="15"/>
                <w:color w:val="auto"/>
              </w:rPr>
              <w:t>45,602</w:t>
            </w:r>
            <w:r>
              <w:rPr>
                <w:rFonts w:ascii="Arial" w:cs="Arial" w:eastAsia="Arial" w:hAnsi="Arial"/>
                <w:sz w:val="24"/>
                <w:szCs w:val="24"/>
                <w:color w:val="auto"/>
                <w:vertAlign w:val="superscript"/>
              </w:rPr>
              <w:t>(5)</w:t>
            </w:r>
          </w:p>
        </w:tc>
        <w:tc>
          <w:tcPr>
            <w:tcW w:w="12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243" w:lineRule="exact"/>
              <w:rPr>
                <w:sz w:val="20"/>
                <w:szCs w:val="20"/>
                <w:color w:val="auto"/>
              </w:rPr>
            </w:pPr>
            <w:r>
              <w:rPr>
                <w:rFonts w:ascii="Arial" w:cs="Arial" w:eastAsia="Arial" w:hAnsi="Arial"/>
                <w:sz w:val="15"/>
                <w:szCs w:val="15"/>
                <w:color w:val="auto"/>
              </w:rPr>
              <w:t>45,602</w:t>
            </w:r>
            <w:r>
              <w:rPr>
                <w:rFonts w:ascii="Arial" w:cs="Arial" w:eastAsia="Arial" w:hAnsi="Arial"/>
                <w:sz w:val="24"/>
                <w:szCs w:val="24"/>
                <w:color w:val="auto"/>
                <w:vertAlign w:val="superscript"/>
              </w:rPr>
              <w:t>(5)</w:t>
            </w:r>
          </w:p>
        </w:tc>
        <w:tc>
          <w:tcPr>
            <w:tcW w:w="0" w:type="dxa"/>
            <w:vAlign w:val="bottom"/>
          </w:tcPr>
          <w:p>
            <w:pPr>
              <w:spacing w:after="0"/>
              <w:rPr>
                <w:sz w:val="1"/>
                <w:szCs w:val="1"/>
                <w:color w:val="auto"/>
              </w:rPr>
            </w:pPr>
          </w:p>
        </w:tc>
      </w:tr>
      <w:tr>
        <w:trPr>
          <w:trHeight w:val="182"/>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Spread Value of Vested</w:t>
            </w:r>
          </w:p>
        </w:tc>
        <w:tc>
          <w:tcPr>
            <w:tcW w:w="1200" w:type="dxa"/>
            <w:vAlign w:val="bottom"/>
            <w:shd w:val="clear" w:color="auto" w:fill="DFE4EA"/>
          </w:tcPr>
          <w:p>
            <w:pPr>
              <w:spacing w:after="0"/>
              <w:rPr>
                <w:sz w:val="15"/>
                <w:szCs w:val="15"/>
                <w:color w:val="auto"/>
              </w:rPr>
            </w:pPr>
          </w:p>
        </w:tc>
        <w:tc>
          <w:tcPr>
            <w:tcW w:w="1200" w:type="dxa"/>
            <w:vAlign w:val="bottom"/>
            <w:shd w:val="clear" w:color="auto" w:fill="DFE4EA"/>
          </w:tcPr>
          <w:p>
            <w:pPr>
              <w:spacing w:after="0"/>
              <w:rPr>
                <w:sz w:val="15"/>
                <w:szCs w:val="15"/>
                <w:color w:val="auto"/>
              </w:rPr>
            </w:pPr>
          </w:p>
        </w:tc>
        <w:tc>
          <w:tcPr>
            <w:tcW w:w="1280" w:type="dxa"/>
            <w:vAlign w:val="bottom"/>
            <w:shd w:val="clear" w:color="auto" w:fill="DFE4EA"/>
          </w:tcPr>
          <w:p>
            <w:pPr>
              <w:spacing w:after="0"/>
              <w:rPr>
                <w:sz w:val="15"/>
                <w:szCs w:val="15"/>
                <w:color w:val="auto"/>
              </w:rPr>
            </w:pPr>
          </w:p>
        </w:tc>
        <w:tc>
          <w:tcPr>
            <w:tcW w:w="1100" w:type="dxa"/>
            <w:vAlign w:val="bottom"/>
            <w:shd w:val="clear" w:color="auto" w:fill="DFE4EA"/>
          </w:tcPr>
          <w:p>
            <w:pPr>
              <w:spacing w:after="0"/>
              <w:rPr>
                <w:sz w:val="15"/>
                <w:szCs w:val="15"/>
                <w:color w:val="auto"/>
              </w:rPr>
            </w:pPr>
          </w:p>
        </w:tc>
        <w:tc>
          <w:tcPr>
            <w:tcW w:w="1060" w:type="dxa"/>
            <w:vAlign w:val="bottom"/>
            <w:shd w:val="clear" w:color="auto" w:fill="DFE4EA"/>
          </w:tcPr>
          <w:p>
            <w:pPr>
              <w:spacing w:after="0"/>
              <w:rPr>
                <w:sz w:val="15"/>
                <w:szCs w:val="15"/>
                <w:color w:val="auto"/>
              </w:rPr>
            </w:pPr>
          </w:p>
        </w:tc>
        <w:tc>
          <w:tcPr>
            <w:tcW w:w="1220" w:type="dxa"/>
            <w:vAlign w:val="bottom"/>
            <w:shd w:val="clear" w:color="auto" w:fill="DFE4EA"/>
          </w:tcPr>
          <w:p>
            <w:pPr>
              <w:spacing w:after="0"/>
              <w:rPr>
                <w:sz w:val="15"/>
                <w:szCs w:val="15"/>
                <w:color w:val="auto"/>
              </w:rPr>
            </w:pPr>
          </w:p>
        </w:tc>
        <w:tc>
          <w:tcPr>
            <w:tcW w:w="1100" w:type="dxa"/>
            <w:vAlign w:val="bottom"/>
            <w:shd w:val="clear" w:color="auto" w:fill="DFE4EA"/>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DFE4EA"/>
          </w:tcPr>
          <w:p>
            <w:pPr>
              <w:ind w:left="160"/>
              <w:spacing w:after="0"/>
              <w:rPr>
                <w:sz w:val="20"/>
                <w:szCs w:val="20"/>
                <w:color w:val="auto"/>
              </w:rPr>
            </w:pPr>
            <w:r>
              <w:rPr>
                <w:rFonts w:ascii="Arial" w:cs="Arial" w:eastAsia="Arial" w:hAnsi="Arial"/>
                <w:sz w:val="15"/>
                <w:szCs w:val="15"/>
                <w:color w:val="auto"/>
              </w:rPr>
              <w:t>Options</w:t>
            </w:r>
          </w:p>
        </w:tc>
        <w:tc>
          <w:tcPr>
            <w:tcW w:w="1200" w:type="dxa"/>
            <w:vAlign w:val="bottom"/>
            <w:shd w:val="clear" w:color="auto" w:fill="DFE4EA"/>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FE4EA"/>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FE4EA"/>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20"/>
                <w:szCs w:val="20"/>
                <w:color w:val="auto"/>
              </w:rPr>
            </w:pPr>
            <w:r>
              <w:rPr>
                <w:rFonts w:ascii="Arial" w:cs="Arial" w:eastAsia="Arial" w:hAnsi="Arial"/>
                <w:sz w:val="15"/>
                <w:szCs w:val="15"/>
                <w:color w:val="auto"/>
              </w:rPr>
              <w:t>Accelerated Vesting of</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tcPr>
          <w:p>
            <w:pPr>
              <w:ind w:left="160"/>
              <w:spacing w:after="0"/>
              <w:rPr>
                <w:sz w:val="20"/>
                <w:szCs w:val="20"/>
                <w:color w:val="auto"/>
              </w:rPr>
            </w:pPr>
            <w:r>
              <w:rPr>
                <w:rFonts w:ascii="Arial" w:cs="Arial" w:eastAsia="Arial" w:hAnsi="Arial"/>
                <w:sz w:val="15"/>
                <w:szCs w:val="15"/>
                <w:color w:val="auto"/>
              </w:rPr>
              <w:t>Restricted Stock and</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tcPr>
          <w:p>
            <w:pPr>
              <w:ind w:left="160"/>
              <w:spacing w:after="0"/>
              <w:rPr>
                <w:sz w:val="20"/>
                <w:szCs w:val="20"/>
                <w:color w:val="auto"/>
              </w:rPr>
            </w:pPr>
            <w:r>
              <w:rPr>
                <w:rFonts w:ascii="Arial" w:cs="Arial" w:eastAsia="Arial" w:hAnsi="Arial"/>
                <w:sz w:val="15"/>
                <w:szCs w:val="15"/>
                <w:color w:val="auto"/>
              </w:rPr>
              <w:t>Performance Stock</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7,865,581</w:t>
            </w:r>
            <w:r>
              <w:rPr>
                <w:rFonts w:ascii="Arial" w:cs="Arial" w:eastAsia="Arial" w:hAnsi="Arial"/>
                <w:sz w:val="24"/>
                <w:szCs w:val="24"/>
                <w:color w:val="auto"/>
                <w:vertAlign w:val="superscript"/>
              </w:rPr>
              <w:t>(6)</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7,865,581</w:t>
            </w:r>
            <w:r>
              <w:rPr>
                <w:rFonts w:ascii="Arial" w:cs="Arial" w:eastAsia="Arial" w:hAnsi="Arial"/>
                <w:sz w:val="24"/>
                <w:szCs w:val="24"/>
                <w:color w:val="auto"/>
                <w:vertAlign w:val="superscript"/>
              </w:rPr>
              <w:t>(6)</w:t>
            </w:r>
          </w:p>
        </w:tc>
        <w:tc>
          <w:tcPr>
            <w:tcW w:w="0" w:type="dxa"/>
            <w:vAlign w:val="bottom"/>
          </w:tcPr>
          <w:p>
            <w:pPr>
              <w:spacing w:after="0"/>
              <w:rPr>
                <w:sz w:val="1"/>
                <w:szCs w:val="1"/>
                <w:color w:val="auto"/>
              </w:rPr>
            </w:pPr>
          </w:p>
        </w:tc>
      </w:tr>
      <w:tr>
        <w:trPr>
          <w:trHeight w:val="212"/>
        </w:trPr>
        <w:tc>
          <w:tcPr>
            <w:tcW w:w="1860" w:type="dxa"/>
            <w:vAlign w:val="bottom"/>
          </w:tcPr>
          <w:p>
            <w:pPr>
              <w:ind w:left="160"/>
              <w:spacing w:after="0"/>
              <w:rPr>
                <w:sz w:val="20"/>
                <w:szCs w:val="20"/>
                <w:color w:val="auto"/>
              </w:rPr>
            </w:pPr>
            <w:r>
              <w:rPr>
                <w:rFonts w:ascii="Arial" w:cs="Arial" w:eastAsia="Arial" w:hAnsi="Arial"/>
                <w:sz w:val="15"/>
                <w:szCs w:val="15"/>
                <w:color w:val="auto"/>
              </w:rPr>
              <w:t>Units</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shd w:val="clear" w:color="auto" w:fill="DFE4EA"/>
          </w:tcPr>
          <w:p>
            <w:pPr>
              <w:spacing w:after="0"/>
              <w:rPr>
                <w:sz w:val="20"/>
                <w:szCs w:val="20"/>
                <w:color w:val="auto"/>
              </w:rPr>
            </w:pPr>
            <w:r>
              <w:rPr>
                <w:rFonts w:ascii="Arial" w:cs="Arial" w:eastAsia="Arial" w:hAnsi="Arial"/>
                <w:sz w:val="15"/>
                <w:szCs w:val="15"/>
                <w:b w:val="1"/>
                <w:bCs w:val="1"/>
                <w:color w:val="auto"/>
              </w:rPr>
              <w:t>Total</w:t>
            </w:r>
          </w:p>
        </w:tc>
        <w:tc>
          <w:tcPr>
            <w:tcW w:w="1200" w:type="dxa"/>
            <w:vAlign w:val="bottom"/>
            <w:shd w:val="clear" w:color="auto" w:fill="DFE4EA"/>
          </w:tcPr>
          <w:p>
            <w:pPr>
              <w:jc w:val="right"/>
              <w:ind w:right="83"/>
              <w:spacing w:after="0"/>
              <w:rPr>
                <w:sz w:val="20"/>
                <w:szCs w:val="20"/>
                <w:color w:val="auto"/>
              </w:rPr>
            </w:pPr>
            <w:r>
              <w:rPr>
                <w:rFonts w:ascii="Arial" w:cs="Arial" w:eastAsia="Arial" w:hAnsi="Arial"/>
                <w:sz w:val="15"/>
                <w:szCs w:val="15"/>
                <w:b w:val="1"/>
                <w:bCs w:val="1"/>
                <w:color w:val="auto"/>
              </w:rPr>
              <w:t>400,194</w:t>
            </w:r>
          </w:p>
        </w:tc>
        <w:tc>
          <w:tcPr>
            <w:tcW w:w="1200" w:type="dxa"/>
            <w:vAlign w:val="bottom"/>
            <w:shd w:val="clear" w:color="auto" w:fill="DFE4EA"/>
          </w:tcPr>
          <w:p>
            <w:pPr>
              <w:jc w:val="right"/>
              <w:ind w:right="103"/>
              <w:spacing w:after="0"/>
              <w:rPr>
                <w:sz w:val="20"/>
                <w:szCs w:val="20"/>
                <w:color w:val="auto"/>
              </w:rPr>
            </w:pPr>
            <w:r>
              <w:rPr>
                <w:rFonts w:ascii="Arial" w:cs="Arial" w:eastAsia="Arial" w:hAnsi="Arial"/>
                <w:sz w:val="15"/>
                <w:szCs w:val="15"/>
                <w:b w:val="1"/>
                <w:bCs w:val="1"/>
                <w:color w:val="auto"/>
              </w:rPr>
              <w:t>445,796</w:t>
            </w:r>
          </w:p>
        </w:tc>
        <w:tc>
          <w:tcPr>
            <w:tcW w:w="1280" w:type="dxa"/>
            <w:vAlign w:val="bottom"/>
            <w:shd w:val="clear" w:color="auto" w:fill="DFE4EA"/>
          </w:tcPr>
          <w:p>
            <w:pPr>
              <w:jc w:val="right"/>
              <w:ind w:right="223"/>
              <w:spacing w:after="0"/>
              <w:rPr>
                <w:sz w:val="20"/>
                <w:szCs w:val="20"/>
                <w:color w:val="auto"/>
              </w:rPr>
            </w:pPr>
            <w:r>
              <w:rPr>
                <w:rFonts w:ascii="Arial" w:cs="Arial" w:eastAsia="Arial" w:hAnsi="Arial"/>
                <w:sz w:val="15"/>
                <w:szCs w:val="15"/>
                <w:b w:val="1"/>
                <w:bCs w:val="1"/>
                <w:color w:val="auto"/>
              </w:rPr>
              <w:t>400,194</w:t>
            </w:r>
          </w:p>
        </w:tc>
        <w:tc>
          <w:tcPr>
            <w:tcW w:w="1100" w:type="dxa"/>
            <w:vAlign w:val="bottom"/>
            <w:shd w:val="clear" w:color="auto" w:fill="DFE4EA"/>
          </w:tcPr>
          <w:p>
            <w:pPr>
              <w:jc w:val="right"/>
              <w:ind w:right="163"/>
              <w:spacing w:after="0"/>
              <w:rPr>
                <w:sz w:val="20"/>
                <w:szCs w:val="20"/>
                <w:color w:val="auto"/>
              </w:rPr>
            </w:pPr>
            <w:r>
              <w:rPr>
                <w:rFonts w:ascii="Arial" w:cs="Arial" w:eastAsia="Arial" w:hAnsi="Arial"/>
                <w:sz w:val="15"/>
                <w:szCs w:val="15"/>
                <w:b w:val="1"/>
                <w:bCs w:val="1"/>
                <w:color w:val="auto"/>
              </w:rPr>
              <w:t>445,796</w:t>
            </w:r>
          </w:p>
        </w:tc>
        <w:tc>
          <w:tcPr>
            <w:tcW w:w="1060" w:type="dxa"/>
            <w:vAlign w:val="bottom"/>
            <w:shd w:val="clear" w:color="auto" w:fill="DFE4EA"/>
          </w:tcPr>
          <w:p>
            <w:pPr>
              <w:jc w:val="right"/>
              <w:ind w:right="63"/>
              <w:spacing w:after="0"/>
              <w:rPr>
                <w:sz w:val="20"/>
                <w:szCs w:val="20"/>
                <w:color w:val="auto"/>
              </w:rPr>
            </w:pPr>
            <w:r>
              <w:rPr>
                <w:rFonts w:ascii="Arial" w:cs="Arial" w:eastAsia="Arial" w:hAnsi="Arial"/>
                <w:sz w:val="15"/>
                <w:szCs w:val="15"/>
                <w:b w:val="1"/>
                <w:bCs w:val="1"/>
                <w:color w:val="auto"/>
              </w:rPr>
              <w:t>445,796</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b w:val="1"/>
                <w:bCs w:val="1"/>
                <w:color w:val="auto"/>
              </w:rPr>
              <w:t>10,466,706</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b w:val="1"/>
                <w:bCs w:val="1"/>
                <w:color w:val="auto"/>
              </w:rPr>
              <w:t>11,907,308</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20" w:hanging="219"/>
        <w:spacing w:after="0"/>
        <w:tabs>
          <w:tab w:leader="none" w:pos="22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This table assumes that all termination events occurred on December 31, 2025.</w:t>
      </w:r>
    </w:p>
    <w:p>
      <w:pPr>
        <w:spacing w:after="0" w:line="117"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the Company-performance components of the 2025 annual incentive plan that Mr. Berry was entitled to on December 31, 2025. No amount is included for the personal performance component of the annual incentive plan.</w:t>
      </w:r>
    </w:p>
    <w:p>
      <w:pPr>
        <w:spacing w:after="0" w:line="118"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1.5x the sum of Mr. Berry’s 2025 annual base salary and his entire cash bonus for 2024, as the 2025 bonus had not been determined or distributed as of December 31, 2025. This amount assumes that following a change of control, Mr. Berry terminated his employment for good reason, or we terminated his employment without cause. Mr. Berry would also receive the amount shown if we terminated his employment without cause at any time within the six months prior to the change of control.</w:t>
      </w:r>
    </w:p>
    <w:p>
      <w:pPr>
        <w:spacing w:after="0" w:line="108"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The 2020 ECIP provides that the exercisability of outstanding options accelerates upon a change of control. The accelerated options had value on December 31, 2025, to the extent that the exercise price of the options were lower than the closing price of our common stock on the NYSE on December 31, 2025, of $45.61. The value for each option is calculated as the difference between the exercise price of the option and the closing price of our common stock at the end of the fiscal year, to the extent positive.</w:t>
      </w:r>
    </w:p>
    <w:p>
      <w:pPr>
        <w:spacing w:after="0" w:line="120"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Under the terms of Mr. Berry’s change of control agreement, upon a change of control event, if Mr. Berry terminates his employment for good reason or we terminate his employment without cause, we would continue to provide him and his family with health benefits coverage, at our expense, for up to 18 months (or until he is provided comparable benefits by another employer). Amount shown represents the value of 18 months of coverage under our health plans, using costs in effect as of December 31, 2025.</w:t>
      </w:r>
    </w:p>
    <w:p>
      <w:pPr>
        <w:spacing w:after="0" w:line="120"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The 2020 ECIP provides that all unvested shares of restricted stock and performance stock units become fully vested upon a change of control. The accelerated restricted stock and performance stock units are valued at the closing price of our common stock on the NYSE on December 31, 2025, of $45.61, and the 2025 performance stock units are assumed to have been earned at target level.</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5"/>
          <w:szCs w:val="15"/>
          <w:b w:val="1"/>
          <w:bCs w:val="1"/>
          <w:color w:val="auto"/>
        </w:rPr>
        <w:t>Jean F. Holloway, Senior Vice President, General Counsel, Corporate Secretary, and Chief Compliance Officer</w:t>
      </w:r>
      <w:r>
        <w:rPr>
          <w:rFonts w:ascii="Arial" w:cs="Arial" w:eastAsia="Arial" w:hAnsi="Arial"/>
          <w:sz w:val="24"/>
          <w:szCs w:val="24"/>
          <w:b w:val="1"/>
          <w:bCs w:val="1"/>
          <w:color w:val="auto"/>
          <w:vertAlign w:val="superscript"/>
        </w:rPr>
        <w:t>(1)</w:t>
      </w:r>
    </w:p>
    <w:p>
      <w:pPr>
        <w:spacing w:after="0" w:line="98"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auto"/>
        </w:rPr>
        <w:t>Executive Officer Benefits and Payments Upon Termination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35635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56350" cy="762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Certain</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Termination</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Events</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jc w:val="center"/>
              <w:ind w:right="43"/>
              <w:spacing w:after="0"/>
              <w:rPr>
                <w:sz w:val="20"/>
                <w:szCs w:val="20"/>
                <w:color w:val="auto"/>
              </w:rPr>
            </w:pPr>
            <w:r>
              <w:rPr>
                <w:rFonts w:ascii="Arial" w:cs="Arial" w:eastAsia="Arial" w:hAnsi="Arial"/>
                <w:sz w:val="15"/>
                <w:szCs w:val="15"/>
                <w:b w:val="1"/>
                <w:bCs w:val="1"/>
                <w:color w:val="auto"/>
              </w:rPr>
              <w:t>Good Reason</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jc w:val="center"/>
              <w:ind w:right="3"/>
              <w:spacing w:after="0"/>
              <w:rPr>
                <w:sz w:val="20"/>
                <w:szCs w:val="20"/>
                <w:color w:val="auto"/>
              </w:rPr>
            </w:pPr>
            <w:r>
              <w:rPr>
                <w:rFonts w:ascii="Arial" w:cs="Arial" w:eastAsia="Arial" w:hAnsi="Arial"/>
                <w:sz w:val="15"/>
                <w:szCs w:val="15"/>
                <w:b w:val="1"/>
                <w:bCs w:val="1"/>
                <w:color w:val="auto"/>
              </w:rPr>
              <w:t>Change of</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Following/</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jc w:val="center"/>
              <w:ind w:right="43"/>
              <w:spacing w:after="0"/>
              <w:rPr>
                <w:sz w:val="20"/>
                <w:szCs w:val="20"/>
                <w:color w:val="auto"/>
              </w:rPr>
            </w:pPr>
            <w:r>
              <w:rPr>
                <w:rFonts w:ascii="Arial" w:cs="Arial" w:eastAsia="Arial" w:hAnsi="Arial"/>
                <w:sz w:val="15"/>
                <w:szCs w:val="15"/>
                <w:b w:val="1"/>
                <w:bCs w:val="1"/>
                <w:color w:val="auto"/>
              </w:rPr>
              <w:t>or Involuntary</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jc w:val="center"/>
              <w:ind w:right="3"/>
              <w:spacing w:after="0"/>
              <w:rPr>
                <w:sz w:val="20"/>
                <w:szCs w:val="20"/>
                <w:color w:val="auto"/>
              </w:rPr>
            </w:pPr>
            <w:r>
              <w:rPr>
                <w:rFonts w:ascii="Arial" w:cs="Arial" w:eastAsia="Arial" w:hAnsi="Arial"/>
                <w:sz w:val="15"/>
                <w:szCs w:val="15"/>
                <w:b w:val="1"/>
                <w:bCs w:val="1"/>
                <w:color w:val="auto"/>
              </w:rPr>
              <w:t>Control</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Preceding a</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Arial" w:cs="Arial" w:eastAsia="Arial" w:hAnsi="Arial"/>
                <w:sz w:val="15"/>
                <w:szCs w:val="15"/>
                <w:b w:val="1"/>
                <w:bCs w:val="1"/>
                <w:color w:val="auto"/>
              </w:rPr>
              <w:t>Voluntary</w:t>
            </w:r>
          </w:p>
        </w:tc>
        <w:tc>
          <w:tcPr>
            <w:tcW w:w="1200" w:type="dxa"/>
            <w:vAlign w:val="bottom"/>
          </w:tcPr>
          <w:p>
            <w:pPr>
              <w:jc w:val="center"/>
              <w:ind w:right="43"/>
              <w:spacing w:after="0"/>
              <w:rPr>
                <w:sz w:val="20"/>
                <w:szCs w:val="20"/>
                <w:color w:val="auto"/>
              </w:rPr>
            </w:pPr>
            <w:r>
              <w:rPr>
                <w:rFonts w:ascii="Arial" w:cs="Arial" w:eastAsia="Arial" w:hAnsi="Arial"/>
                <w:sz w:val="15"/>
                <w:szCs w:val="15"/>
                <w:b w:val="1"/>
                <w:bCs w:val="1"/>
                <w:color w:val="auto"/>
              </w:rPr>
              <w:t>Not for Cause</w:t>
            </w:r>
          </w:p>
        </w:tc>
        <w:tc>
          <w:tcPr>
            <w:tcW w:w="1280" w:type="dxa"/>
            <w:vAlign w:val="bottom"/>
          </w:tcPr>
          <w:p>
            <w:pPr>
              <w:jc w:val="right"/>
              <w:ind w:right="303"/>
              <w:spacing w:after="0"/>
              <w:rPr>
                <w:sz w:val="20"/>
                <w:szCs w:val="20"/>
                <w:color w:val="auto"/>
              </w:rPr>
            </w:pPr>
            <w:r>
              <w:rPr>
                <w:rFonts w:ascii="Arial" w:cs="Arial" w:eastAsia="Arial" w:hAnsi="Arial"/>
                <w:sz w:val="15"/>
                <w:szCs w:val="15"/>
                <w:b w:val="1"/>
                <w:bCs w:val="1"/>
                <w:color w:val="auto"/>
              </w:rPr>
              <w:t>For Cause</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jc w:val="center"/>
              <w:ind w:right="3"/>
              <w:spacing w:after="0"/>
              <w:rPr>
                <w:sz w:val="20"/>
                <w:szCs w:val="20"/>
                <w:color w:val="auto"/>
              </w:rPr>
            </w:pPr>
            <w:r>
              <w:rPr>
                <w:rFonts w:ascii="Arial" w:cs="Arial" w:eastAsia="Arial" w:hAnsi="Arial"/>
                <w:sz w:val="15"/>
                <w:szCs w:val="15"/>
                <w:b w:val="1"/>
                <w:bCs w:val="1"/>
                <w:color w:val="auto"/>
              </w:rPr>
              <w:t>Without Regard</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Change of</w:t>
            </w:r>
          </w:p>
        </w:tc>
        <w:tc>
          <w:tcPr>
            <w:tcW w:w="0" w:type="dxa"/>
            <w:vAlign w:val="bottom"/>
          </w:tcPr>
          <w:p>
            <w:pPr>
              <w:spacing w:after="0"/>
              <w:rPr>
                <w:sz w:val="1"/>
                <w:szCs w:val="1"/>
                <w:color w:val="auto"/>
              </w:rPr>
            </w:pPr>
          </w:p>
        </w:tc>
      </w:tr>
      <w:tr>
        <w:trPr>
          <w:trHeight w:val="198"/>
        </w:trPr>
        <w:tc>
          <w:tcPr>
            <w:tcW w:w="1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Termination</w:t>
            </w:r>
          </w:p>
        </w:tc>
        <w:tc>
          <w:tcPr>
            <w:tcW w:w="120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rPr>
              <w:t>Termination</w:t>
            </w:r>
          </w:p>
        </w:tc>
        <w:tc>
          <w:tcPr>
            <w:tcW w:w="12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Termination</w:t>
            </w: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Death</w:t>
            </w: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Disability</w:t>
            </w:r>
          </w:p>
        </w:tc>
        <w:tc>
          <w:tcPr>
            <w:tcW w:w="122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to Termination</w:t>
            </w:r>
          </w:p>
        </w:tc>
        <w:tc>
          <w:tcPr>
            <w:tcW w:w="110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Control</w:t>
            </w:r>
          </w:p>
        </w:tc>
        <w:tc>
          <w:tcPr>
            <w:tcW w:w="0" w:type="dxa"/>
            <w:vAlign w:val="bottom"/>
          </w:tcPr>
          <w:p>
            <w:pPr>
              <w:spacing w:after="0"/>
              <w:rPr>
                <w:sz w:val="1"/>
                <w:szCs w:val="1"/>
                <w:color w:val="auto"/>
              </w:rPr>
            </w:pPr>
          </w:p>
        </w:tc>
      </w:tr>
      <w:tr>
        <w:trPr>
          <w:trHeight w:val="251"/>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Cash Compensation</w:t>
            </w:r>
          </w:p>
        </w:tc>
        <w:tc>
          <w:tcPr>
            <w:tcW w:w="120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260,208</w:t>
            </w:r>
            <w:r>
              <w:rPr>
                <w:rFonts w:ascii="Arial" w:cs="Arial" w:eastAsia="Arial" w:hAnsi="Arial"/>
                <w:sz w:val="24"/>
                <w:szCs w:val="24"/>
                <w:color w:val="auto"/>
                <w:vertAlign w:val="superscript"/>
              </w:rPr>
              <w:t>(2)</w:t>
            </w:r>
          </w:p>
        </w:tc>
        <w:tc>
          <w:tcPr>
            <w:tcW w:w="1200" w:type="dxa"/>
            <w:vAlign w:val="bottom"/>
            <w:shd w:val="clear" w:color="auto" w:fill="DFE4EA"/>
          </w:tcPr>
          <w:p>
            <w:pPr>
              <w:jc w:val="right"/>
              <w:ind w:right="3"/>
              <w:spacing w:after="0" w:line="251" w:lineRule="exact"/>
              <w:rPr>
                <w:sz w:val="20"/>
                <w:szCs w:val="20"/>
                <w:color w:val="auto"/>
              </w:rPr>
            </w:pPr>
            <w:r>
              <w:rPr>
                <w:rFonts w:ascii="Arial" w:cs="Arial" w:eastAsia="Arial" w:hAnsi="Arial"/>
                <w:sz w:val="15"/>
                <w:szCs w:val="15"/>
                <w:color w:val="auto"/>
              </w:rPr>
              <w:t>260,208</w:t>
            </w:r>
            <w:r>
              <w:rPr>
                <w:rFonts w:ascii="Arial" w:cs="Arial" w:eastAsia="Arial" w:hAnsi="Arial"/>
                <w:sz w:val="24"/>
                <w:szCs w:val="24"/>
                <w:color w:val="auto"/>
                <w:vertAlign w:val="superscript"/>
              </w:rPr>
              <w:t>(2)</w:t>
            </w:r>
          </w:p>
        </w:tc>
        <w:tc>
          <w:tcPr>
            <w:tcW w:w="1280" w:type="dxa"/>
            <w:vAlign w:val="bottom"/>
            <w:shd w:val="clear" w:color="auto" w:fill="DFE4EA"/>
          </w:tcPr>
          <w:p>
            <w:pPr>
              <w:jc w:val="right"/>
              <w:ind w:right="103"/>
              <w:spacing w:after="0" w:line="251" w:lineRule="exact"/>
              <w:rPr>
                <w:sz w:val="20"/>
                <w:szCs w:val="20"/>
                <w:color w:val="auto"/>
              </w:rPr>
            </w:pPr>
            <w:r>
              <w:rPr>
                <w:rFonts w:ascii="Arial" w:cs="Arial" w:eastAsia="Arial" w:hAnsi="Arial"/>
                <w:sz w:val="15"/>
                <w:szCs w:val="15"/>
                <w:color w:val="auto"/>
              </w:rPr>
              <w:t>260,208</w:t>
            </w:r>
            <w:r>
              <w:rPr>
                <w:rFonts w:ascii="Arial" w:cs="Arial" w:eastAsia="Arial" w:hAnsi="Arial"/>
                <w:sz w:val="24"/>
                <w:szCs w:val="24"/>
                <w:color w:val="auto"/>
                <w:vertAlign w:val="superscript"/>
              </w:rPr>
              <w:t>(2)</w:t>
            </w:r>
          </w:p>
        </w:tc>
        <w:tc>
          <w:tcPr>
            <w:tcW w:w="1100" w:type="dxa"/>
            <w:vAlign w:val="bottom"/>
            <w:shd w:val="clear" w:color="auto" w:fill="DFE4EA"/>
          </w:tcPr>
          <w:p>
            <w:pPr>
              <w:jc w:val="right"/>
              <w:ind w:right="23"/>
              <w:spacing w:after="0" w:line="251" w:lineRule="exact"/>
              <w:rPr>
                <w:sz w:val="20"/>
                <w:szCs w:val="20"/>
                <w:color w:val="auto"/>
              </w:rPr>
            </w:pPr>
            <w:r>
              <w:rPr>
                <w:rFonts w:ascii="Arial" w:cs="Arial" w:eastAsia="Arial" w:hAnsi="Arial"/>
                <w:sz w:val="15"/>
                <w:szCs w:val="15"/>
                <w:color w:val="auto"/>
              </w:rPr>
              <w:t>260,208</w:t>
            </w:r>
            <w:r>
              <w:rPr>
                <w:rFonts w:ascii="Arial" w:cs="Arial" w:eastAsia="Arial" w:hAnsi="Arial"/>
                <w:sz w:val="24"/>
                <w:szCs w:val="24"/>
                <w:color w:val="auto"/>
                <w:vertAlign w:val="superscript"/>
              </w:rPr>
              <w:t>(2)</w:t>
            </w:r>
          </w:p>
        </w:tc>
        <w:tc>
          <w:tcPr>
            <w:tcW w:w="106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260,208</w:t>
            </w:r>
            <w:r>
              <w:rPr>
                <w:rFonts w:ascii="Arial" w:cs="Arial" w:eastAsia="Arial" w:hAnsi="Arial"/>
                <w:sz w:val="24"/>
                <w:szCs w:val="24"/>
                <w:color w:val="auto"/>
                <w:vertAlign w:val="superscript"/>
              </w:rPr>
              <w:t>(2)</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1,072,610</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20"/>
                <w:szCs w:val="20"/>
                <w:color w:val="auto"/>
              </w:rPr>
            </w:pPr>
            <w:r>
              <w:rPr>
                <w:rFonts w:ascii="Arial" w:cs="Arial" w:eastAsia="Arial" w:hAnsi="Arial"/>
                <w:sz w:val="15"/>
                <w:szCs w:val="15"/>
                <w:color w:val="auto"/>
              </w:rPr>
              <w:t>Accelerated Stock Option</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2,200,473</w:t>
            </w:r>
            <w:r>
              <w:rPr>
                <w:rFonts w:ascii="Arial" w:cs="Arial" w:eastAsia="Arial" w:hAnsi="Arial"/>
                <w:sz w:val="24"/>
                <w:szCs w:val="24"/>
                <w:color w:val="auto"/>
                <w:vertAlign w:val="superscript"/>
              </w:rPr>
              <w:t>(4)</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2,200,473</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r>
        <w:trPr>
          <w:trHeight w:val="212"/>
        </w:trPr>
        <w:tc>
          <w:tcPr>
            <w:tcW w:w="1860" w:type="dxa"/>
            <w:vAlign w:val="bottom"/>
          </w:tcPr>
          <w:p>
            <w:pPr>
              <w:ind w:left="160"/>
              <w:spacing w:after="0"/>
              <w:rPr>
                <w:sz w:val="20"/>
                <w:szCs w:val="20"/>
                <w:color w:val="auto"/>
              </w:rPr>
            </w:pPr>
            <w:r>
              <w:rPr>
                <w:rFonts w:ascii="Arial" w:cs="Arial" w:eastAsia="Arial" w:hAnsi="Arial"/>
                <w:sz w:val="15"/>
                <w:szCs w:val="15"/>
                <w:color w:val="auto"/>
              </w:rPr>
              <w:t>Exercisability</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Accrued Vacation Pay</w:t>
            </w:r>
          </w:p>
        </w:tc>
        <w:tc>
          <w:tcPr>
            <w:tcW w:w="1200" w:type="dxa"/>
            <w:vAlign w:val="bottom"/>
            <w:shd w:val="clear" w:color="auto" w:fill="DFE4EA"/>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FE4EA"/>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4"/>
        </w:trPr>
        <w:tc>
          <w:tcPr>
            <w:tcW w:w="1860" w:type="dxa"/>
            <w:vAlign w:val="bottom"/>
          </w:tcPr>
          <w:p>
            <w:pPr>
              <w:spacing w:after="0"/>
              <w:rPr>
                <w:sz w:val="20"/>
                <w:szCs w:val="20"/>
                <w:color w:val="auto"/>
              </w:rPr>
            </w:pPr>
            <w:r>
              <w:rPr>
                <w:rFonts w:ascii="Arial" w:cs="Arial" w:eastAsia="Arial" w:hAnsi="Arial"/>
                <w:sz w:val="15"/>
                <w:szCs w:val="15"/>
                <w:color w:val="auto"/>
              </w:rPr>
              <w:t>Medical Benefits</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3"/>
              <w:spacing w:after="0" w:line="243" w:lineRule="exact"/>
              <w:rPr>
                <w:sz w:val="20"/>
                <w:szCs w:val="20"/>
                <w:color w:val="auto"/>
              </w:rPr>
            </w:pPr>
            <w:r>
              <w:rPr>
                <w:rFonts w:ascii="Arial" w:cs="Arial" w:eastAsia="Arial" w:hAnsi="Arial"/>
                <w:sz w:val="15"/>
                <w:szCs w:val="15"/>
                <w:color w:val="auto"/>
              </w:rPr>
              <w:t>26,746</w:t>
            </w:r>
            <w:r>
              <w:rPr>
                <w:rFonts w:ascii="Arial" w:cs="Arial" w:eastAsia="Arial" w:hAnsi="Arial"/>
                <w:sz w:val="24"/>
                <w:szCs w:val="24"/>
                <w:color w:val="auto"/>
                <w:vertAlign w:val="superscript"/>
              </w:rPr>
              <w:t>(5)</w:t>
            </w:r>
          </w:p>
        </w:tc>
        <w:tc>
          <w:tcPr>
            <w:tcW w:w="12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line="243" w:lineRule="exact"/>
              <w:rPr>
                <w:sz w:val="20"/>
                <w:szCs w:val="20"/>
                <w:color w:val="auto"/>
              </w:rPr>
            </w:pPr>
            <w:r>
              <w:rPr>
                <w:rFonts w:ascii="Arial" w:cs="Arial" w:eastAsia="Arial" w:hAnsi="Arial"/>
                <w:sz w:val="15"/>
                <w:szCs w:val="15"/>
                <w:color w:val="auto"/>
              </w:rPr>
              <w:t>26,746</w:t>
            </w:r>
            <w:r>
              <w:rPr>
                <w:rFonts w:ascii="Arial" w:cs="Arial" w:eastAsia="Arial" w:hAnsi="Arial"/>
                <w:sz w:val="24"/>
                <w:szCs w:val="24"/>
                <w:color w:val="auto"/>
                <w:vertAlign w:val="superscript"/>
              </w:rPr>
              <w:t>(5)</w:t>
            </w:r>
          </w:p>
        </w:tc>
        <w:tc>
          <w:tcPr>
            <w:tcW w:w="1060" w:type="dxa"/>
            <w:vAlign w:val="bottom"/>
          </w:tcPr>
          <w:p>
            <w:pPr>
              <w:jc w:val="right"/>
              <w:spacing w:after="0" w:line="243" w:lineRule="exact"/>
              <w:rPr>
                <w:sz w:val="20"/>
                <w:szCs w:val="20"/>
                <w:color w:val="auto"/>
              </w:rPr>
            </w:pPr>
            <w:r>
              <w:rPr>
                <w:rFonts w:ascii="Arial" w:cs="Arial" w:eastAsia="Arial" w:hAnsi="Arial"/>
                <w:sz w:val="15"/>
                <w:szCs w:val="15"/>
                <w:color w:val="auto"/>
              </w:rPr>
              <w:t>26,746</w:t>
            </w:r>
            <w:r>
              <w:rPr>
                <w:rFonts w:ascii="Arial" w:cs="Arial" w:eastAsia="Arial" w:hAnsi="Arial"/>
                <w:sz w:val="24"/>
                <w:szCs w:val="24"/>
                <w:color w:val="auto"/>
                <w:vertAlign w:val="superscript"/>
              </w:rPr>
              <w:t>(5)</w:t>
            </w:r>
          </w:p>
        </w:tc>
        <w:tc>
          <w:tcPr>
            <w:tcW w:w="12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243" w:lineRule="exact"/>
              <w:rPr>
                <w:sz w:val="20"/>
                <w:szCs w:val="20"/>
                <w:color w:val="auto"/>
              </w:rPr>
            </w:pPr>
            <w:r>
              <w:rPr>
                <w:rFonts w:ascii="Arial" w:cs="Arial" w:eastAsia="Arial" w:hAnsi="Arial"/>
                <w:sz w:val="15"/>
                <w:szCs w:val="15"/>
                <w:color w:val="auto"/>
              </w:rPr>
              <w:t>26,746</w:t>
            </w:r>
            <w:r>
              <w:rPr>
                <w:rFonts w:ascii="Arial" w:cs="Arial" w:eastAsia="Arial" w:hAnsi="Arial"/>
                <w:sz w:val="24"/>
                <w:szCs w:val="24"/>
                <w:color w:val="auto"/>
                <w:vertAlign w:val="superscript"/>
              </w:rPr>
              <w:t>(5)</w:t>
            </w:r>
          </w:p>
        </w:tc>
        <w:tc>
          <w:tcPr>
            <w:tcW w:w="0" w:type="dxa"/>
            <w:vAlign w:val="bottom"/>
          </w:tcPr>
          <w:p>
            <w:pPr>
              <w:spacing w:after="0"/>
              <w:rPr>
                <w:sz w:val="1"/>
                <w:szCs w:val="1"/>
                <w:color w:val="auto"/>
              </w:rPr>
            </w:pPr>
          </w:p>
        </w:tc>
      </w:tr>
      <w:tr>
        <w:trPr>
          <w:trHeight w:val="182"/>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Spread Value of Vested</w:t>
            </w:r>
          </w:p>
        </w:tc>
        <w:tc>
          <w:tcPr>
            <w:tcW w:w="1200" w:type="dxa"/>
            <w:vAlign w:val="bottom"/>
            <w:shd w:val="clear" w:color="auto" w:fill="DFE4EA"/>
          </w:tcPr>
          <w:p>
            <w:pPr>
              <w:spacing w:after="0"/>
              <w:rPr>
                <w:sz w:val="15"/>
                <w:szCs w:val="15"/>
                <w:color w:val="auto"/>
              </w:rPr>
            </w:pPr>
          </w:p>
        </w:tc>
        <w:tc>
          <w:tcPr>
            <w:tcW w:w="1200" w:type="dxa"/>
            <w:vAlign w:val="bottom"/>
            <w:shd w:val="clear" w:color="auto" w:fill="DFE4EA"/>
          </w:tcPr>
          <w:p>
            <w:pPr>
              <w:spacing w:after="0"/>
              <w:rPr>
                <w:sz w:val="15"/>
                <w:szCs w:val="15"/>
                <w:color w:val="auto"/>
              </w:rPr>
            </w:pPr>
          </w:p>
        </w:tc>
        <w:tc>
          <w:tcPr>
            <w:tcW w:w="1280" w:type="dxa"/>
            <w:vAlign w:val="bottom"/>
            <w:shd w:val="clear" w:color="auto" w:fill="DFE4EA"/>
          </w:tcPr>
          <w:p>
            <w:pPr>
              <w:spacing w:after="0"/>
              <w:rPr>
                <w:sz w:val="15"/>
                <w:szCs w:val="15"/>
                <w:color w:val="auto"/>
              </w:rPr>
            </w:pPr>
          </w:p>
        </w:tc>
        <w:tc>
          <w:tcPr>
            <w:tcW w:w="1100" w:type="dxa"/>
            <w:vAlign w:val="bottom"/>
            <w:shd w:val="clear" w:color="auto" w:fill="DFE4EA"/>
          </w:tcPr>
          <w:p>
            <w:pPr>
              <w:spacing w:after="0"/>
              <w:rPr>
                <w:sz w:val="15"/>
                <w:szCs w:val="15"/>
                <w:color w:val="auto"/>
              </w:rPr>
            </w:pPr>
          </w:p>
        </w:tc>
        <w:tc>
          <w:tcPr>
            <w:tcW w:w="1060" w:type="dxa"/>
            <w:vAlign w:val="bottom"/>
            <w:shd w:val="clear" w:color="auto" w:fill="DFE4EA"/>
          </w:tcPr>
          <w:p>
            <w:pPr>
              <w:spacing w:after="0"/>
              <w:rPr>
                <w:sz w:val="15"/>
                <w:szCs w:val="15"/>
                <w:color w:val="auto"/>
              </w:rPr>
            </w:pPr>
          </w:p>
        </w:tc>
        <w:tc>
          <w:tcPr>
            <w:tcW w:w="1220" w:type="dxa"/>
            <w:vAlign w:val="bottom"/>
            <w:shd w:val="clear" w:color="auto" w:fill="DFE4EA"/>
          </w:tcPr>
          <w:p>
            <w:pPr>
              <w:spacing w:after="0"/>
              <w:rPr>
                <w:sz w:val="15"/>
                <w:szCs w:val="15"/>
                <w:color w:val="auto"/>
              </w:rPr>
            </w:pPr>
          </w:p>
        </w:tc>
        <w:tc>
          <w:tcPr>
            <w:tcW w:w="1100" w:type="dxa"/>
            <w:vAlign w:val="bottom"/>
            <w:shd w:val="clear" w:color="auto" w:fill="DFE4EA"/>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DFE4EA"/>
          </w:tcPr>
          <w:p>
            <w:pPr>
              <w:ind w:left="160"/>
              <w:spacing w:after="0"/>
              <w:rPr>
                <w:sz w:val="20"/>
                <w:szCs w:val="20"/>
                <w:color w:val="auto"/>
              </w:rPr>
            </w:pPr>
            <w:r>
              <w:rPr>
                <w:rFonts w:ascii="Arial" w:cs="Arial" w:eastAsia="Arial" w:hAnsi="Arial"/>
                <w:sz w:val="15"/>
                <w:szCs w:val="15"/>
                <w:color w:val="auto"/>
              </w:rPr>
              <w:t>Options</w:t>
            </w:r>
          </w:p>
        </w:tc>
        <w:tc>
          <w:tcPr>
            <w:tcW w:w="1200" w:type="dxa"/>
            <w:vAlign w:val="bottom"/>
            <w:shd w:val="clear" w:color="auto" w:fill="DFE4EA"/>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FE4EA"/>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20"/>
                <w:szCs w:val="20"/>
                <w:color w:val="auto"/>
              </w:rPr>
            </w:pPr>
            <w:r>
              <w:rPr>
                <w:rFonts w:ascii="Arial" w:cs="Arial" w:eastAsia="Arial" w:hAnsi="Arial"/>
                <w:sz w:val="15"/>
                <w:szCs w:val="15"/>
                <w:color w:val="auto"/>
              </w:rPr>
              <w:t>Accelerated Vesting of</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tcPr>
          <w:p>
            <w:pPr>
              <w:ind w:left="160"/>
              <w:spacing w:after="0"/>
              <w:rPr>
                <w:sz w:val="20"/>
                <w:szCs w:val="20"/>
                <w:color w:val="auto"/>
              </w:rPr>
            </w:pPr>
            <w:r>
              <w:rPr>
                <w:rFonts w:ascii="Arial" w:cs="Arial" w:eastAsia="Arial" w:hAnsi="Arial"/>
                <w:sz w:val="15"/>
                <w:szCs w:val="15"/>
                <w:color w:val="auto"/>
              </w:rPr>
              <w:t>Restricted Stock and</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tcPr>
          <w:p>
            <w:pPr>
              <w:ind w:left="160"/>
              <w:spacing w:after="0"/>
              <w:rPr>
                <w:sz w:val="20"/>
                <w:szCs w:val="20"/>
                <w:color w:val="auto"/>
              </w:rPr>
            </w:pPr>
            <w:r>
              <w:rPr>
                <w:rFonts w:ascii="Arial" w:cs="Arial" w:eastAsia="Arial" w:hAnsi="Arial"/>
                <w:sz w:val="15"/>
                <w:szCs w:val="15"/>
                <w:color w:val="auto"/>
              </w:rPr>
              <w:t>Performance Stock</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3,653,680</w:t>
            </w:r>
            <w:r>
              <w:rPr>
                <w:rFonts w:ascii="Arial" w:cs="Arial" w:eastAsia="Arial" w:hAnsi="Arial"/>
                <w:sz w:val="24"/>
                <w:szCs w:val="24"/>
                <w:color w:val="auto"/>
                <w:vertAlign w:val="superscript"/>
              </w:rPr>
              <w:t>(6)</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3,653,680</w:t>
            </w:r>
            <w:r>
              <w:rPr>
                <w:rFonts w:ascii="Arial" w:cs="Arial" w:eastAsia="Arial" w:hAnsi="Arial"/>
                <w:sz w:val="24"/>
                <w:szCs w:val="24"/>
                <w:color w:val="auto"/>
                <w:vertAlign w:val="superscript"/>
              </w:rPr>
              <w:t>(6)</w:t>
            </w:r>
          </w:p>
        </w:tc>
        <w:tc>
          <w:tcPr>
            <w:tcW w:w="0" w:type="dxa"/>
            <w:vAlign w:val="bottom"/>
          </w:tcPr>
          <w:p>
            <w:pPr>
              <w:spacing w:after="0"/>
              <w:rPr>
                <w:sz w:val="1"/>
                <w:szCs w:val="1"/>
                <w:color w:val="auto"/>
              </w:rPr>
            </w:pPr>
          </w:p>
        </w:tc>
      </w:tr>
      <w:tr>
        <w:trPr>
          <w:trHeight w:val="212"/>
        </w:trPr>
        <w:tc>
          <w:tcPr>
            <w:tcW w:w="1860" w:type="dxa"/>
            <w:vAlign w:val="bottom"/>
          </w:tcPr>
          <w:p>
            <w:pPr>
              <w:ind w:left="160"/>
              <w:spacing w:after="0"/>
              <w:rPr>
                <w:sz w:val="20"/>
                <w:szCs w:val="20"/>
                <w:color w:val="auto"/>
              </w:rPr>
            </w:pPr>
            <w:r>
              <w:rPr>
                <w:rFonts w:ascii="Arial" w:cs="Arial" w:eastAsia="Arial" w:hAnsi="Arial"/>
                <w:sz w:val="15"/>
                <w:szCs w:val="15"/>
                <w:color w:val="auto"/>
              </w:rPr>
              <w:t>Units</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shd w:val="clear" w:color="auto" w:fill="DFE4EA"/>
          </w:tcPr>
          <w:p>
            <w:pPr>
              <w:spacing w:after="0"/>
              <w:rPr>
                <w:sz w:val="20"/>
                <w:szCs w:val="20"/>
                <w:color w:val="auto"/>
              </w:rPr>
            </w:pPr>
            <w:r>
              <w:rPr>
                <w:rFonts w:ascii="Arial" w:cs="Arial" w:eastAsia="Arial" w:hAnsi="Arial"/>
                <w:sz w:val="15"/>
                <w:szCs w:val="15"/>
                <w:b w:val="1"/>
                <w:bCs w:val="1"/>
                <w:color w:val="auto"/>
              </w:rPr>
              <w:t>Total</w:t>
            </w:r>
          </w:p>
        </w:tc>
        <w:tc>
          <w:tcPr>
            <w:tcW w:w="1200" w:type="dxa"/>
            <w:vAlign w:val="bottom"/>
            <w:shd w:val="clear" w:color="auto" w:fill="DFE4EA"/>
          </w:tcPr>
          <w:p>
            <w:pPr>
              <w:jc w:val="right"/>
              <w:ind w:right="83"/>
              <w:spacing w:after="0"/>
              <w:rPr>
                <w:sz w:val="20"/>
                <w:szCs w:val="20"/>
                <w:color w:val="auto"/>
              </w:rPr>
            </w:pPr>
            <w:r>
              <w:rPr>
                <w:rFonts w:ascii="Arial" w:cs="Arial" w:eastAsia="Arial" w:hAnsi="Arial"/>
                <w:sz w:val="15"/>
                <w:szCs w:val="15"/>
                <w:b w:val="1"/>
                <w:bCs w:val="1"/>
                <w:color w:val="auto"/>
              </w:rPr>
              <w:t>260,208</w:t>
            </w:r>
          </w:p>
        </w:tc>
        <w:tc>
          <w:tcPr>
            <w:tcW w:w="1200" w:type="dxa"/>
            <w:vAlign w:val="bottom"/>
            <w:shd w:val="clear" w:color="auto" w:fill="DFE4EA"/>
          </w:tcPr>
          <w:p>
            <w:pPr>
              <w:jc w:val="right"/>
              <w:ind w:right="123"/>
              <w:spacing w:after="0"/>
              <w:rPr>
                <w:sz w:val="20"/>
                <w:szCs w:val="20"/>
                <w:color w:val="auto"/>
              </w:rPr>
            </w:pPr>
            <w:r>
              <w:rPr>
                <w:rFonts w:ascii="Arial" w:cs="Arial" w:eastAsia="Arial" w:hAnsi="Arial"/>
                <w:sz w:val="15"/>
                <w:szCs w:val="15"/>
                <w:b w:val="1"/>
                <w:bCs w:val="1"/>
                <w:color w:val="auto"/>
              </w:rPr>
              <w:t>286,954</w:t>
            </w:r>
          </w:p>
        </w:tc>
        <w:tc>
          <w:tcPr>
            <w:tcW w:w="1280" w:type="dxa"/>
            <w:vAlign w:val="bottom"/>
            <w:shd w:val="clear" w:color="auto" w:fill="DFE4EA"/>
          </w:tcPr>
          <w:p>
            <w:pPr>
              <w:jc w:val="right"/>
              <w:ind w:right="223"/>
              <w:spacing w:after="0"/>
              <w:rPr>
                <w:sz w:val="20"/>
                <w:szCs w:val="20"/>
                <w:color w:val="auto"/>
              </w:rPr>
            </w:pPr>
            <w:r>
              <w:rPr>
                <w:rFonts w:ascii="Arial" w:cs="Arial" w:eastAsia="Arial" w:hAnsi="Arial"/>
                <w:sz w:val="15"/>
                <w:szCs w:val="15"/>
                <w:b w:val="1"/>
                <w:bCs w:val="1"/>
                <w:color w:val="auto"/>
              </w:rPr>
              <w:t>260,208</w:t>
            </w:r>
          </w:p>
        </w:tc>
        <w:tc>
          <w:tcPr>
            <w:tcW w:w="1100" w:type="dxa"/>
            <w:vAlign w:val="bottom"/>
            <w:shd w:val="clear" w:color="auto" w:fill="DFE4EA"/>
          </w:tcPr>
          <w:p>
            <w:pPr>
              <w:jc w:val="right"/>
              <w:ind w:right="163"/>
              <w:spacing w:after="0"/>
              <w:rPr>
                <w:sz w:val="20"/>
                <w:szCs w:val="20"/>
                <w:color w:val="auto"/>
              </w:rPr>
            </w:pPr>
            <w:r>
              <w:rPr>
                <w:rFonts w:ascii="Arial" w:cs="Arial" w:eastAsia="Arial" w:hAnsi="Arial"/>
                <w:sz w:val="15"/>
                <w:szCs w:val="15"/>
                <w:b w:val="1"/>
                <w:bCs w:val="1"/>
                <w:color w:val="auto"/>
              </w:rPr>
              <w:t>286,954</w:t>
            </w:r>
          </w:p>
        </w:tc>
        <w:tc>
          <w:tcPr>
            <w:tcW w:w="1060" w:type="dxa"/>
            <w:vAlign w:val="bottom"/>
            <w:shd w:val="clear" w:color="auto" w:fill="DFE4EA"/>
          </w:tcPr>
          <w:p>
            <w:pPr>
              <w:jc w:val="right"/>
              <w:ind w:right="63"/>
              <w:spacing w:after="0"/>
              <w:rPr>
                <w:sz w:val="20"/>
                <w:szCs w:val="20"/>
                <w:color w:val="auto"/>
              </w:rPr>
            </w:pPr>
            <w:r>
              <w:rPr>
                <w:rFonts w:ascii="Arial" w:cs="Arial" w:eastAsia="Arial" w:hAnsi="Arial"/>
                <w:sz w:val="15"/>
                <w:szCs w:val="15"/>
                <w:b w:val="1"/>
                <w:bCs w:val="1"/>
                <w:color w:val="auto"/>
              </w:rPr>
              <w:t>286,954</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b w:val="1"/>
                <w:bCs w:val="1"/>
                <w:color w:val="auto"/>
              </w:rPr>
              <w:t>5,854,153</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b w:val="1"/>
                <w:bCs w:val="1"/>
                <w:color w:val="auto"/>
              </w:rPr>
              <w:t>6,953,509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20" w:hanging="219"/>
        <w:spacing w:after="0"/>
        <w:tabs>
          <w:tab w:leader="none" w:pos="22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This table assumes that all termination events occurred on December 31, 2025.</w:t>
      </w:r>
    </w:p>
    <w:p>
      <w:pPr>
        <w:spacing w:after="0" w:line="117"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the Company-performance components of the 2025 annual incentive plan that Ms. Holloway was entitled to on December 31, 2025. No amount is included for the personal performance component of the annual incentive plan.</w:t>
      </w:r>
    </w:p>
    <w:p>
      <w:pPr>
        <w:spacing w:after="0" w:line="118"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1.5x the sum of Ms. Holloway’s 2025 annual base salary and her entire cash bonus for 2024, as the 2025 bonus had not been determined or distributed as of December 31, 2025. This amount assumes that following a change of control, Ms. Holloway terminated her employment for good reason, or we terminated her employment without cause. Ms. Holloway would also receive the amount shown if we terminated her employment without cause at any time within the six months prior to the change of control.</w:t>
      </w:r>
    </w:p>
    <w:p>
      <w:pPr>
        <w:spacing w:after="0" w:line="108"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 2020 ECIP provides that the exercisability of outstanding options accelerates upon a change of control. The accelerated options had value on December 31, 2025, to the extent that the exercise prices of the options were lower than the closing price of our common stock on the NYSE on December 31, 2025, of $45.61. The value for each option is calculated as the difference between the exercise price of the option and the closing price of our common stock at the end of the fiscal year, to the extent positive.</w:t>
      </w:r>
    </w:p>
    <w:p>
      <w:pPr>
        <w:spacing w:after="0" w:line="120"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Under the terms of Ms. Holloway’s change of control agreement, upon a change of control event, if Ms. Holloway terminates her employment for good reason or we terminate her employment without cause, we would continue to provide her and her family with health benefits coverage, at our expense, for up to 18 months (or until she is provided comparable benefits by another employer). Amount shown represents the value of 18 months of coverage under our health plans, using costs in effect as of December 31, 2025.</w:t>
      </w:r>
    </w:p>
    <w:p>
      <w:pPr>
        <w:spacing w:after="0" w:line="120"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 2020 ECIP provides that all unvested shares of restricted stock and performance stock units become fully vested upon a change of control. The accelerated restricted stock and performance stock units are valued at the closing price of our common stock on the NYSE on December 31, 2025, of $45.61, and the 2025 performance stock units are assumed to have been earned at target level.</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5"/>
          <w:szCs w:val="15"/>
          <w:b w:val="1"/>
          <w:bCs w:val="1"/>
          <w:color w:val="auto"/>
        </w:rPr>
        <w:t>John E. Davis, Senior Vice President, Chief Commercial Officer</w:t>
      </w:r>
      <w:r>
        <w:rPr>
          <w:rFonts w:ascii="Arial" w:cs="Arial" w:eastAsia="Arial" w:hAnsi="Arial"/>
          <w:sz w:val="25"/>
          <w:szCs w:val="25"/>
          <w:b w:val="1"/>
          <w:bCs w:val="1"/>
          <w:color w:val="auto"/>
          <w:vertAlign w:val="superscript"/>
        </w:rPr>
        <w:t>(1)</w:t>
      </w:r>
    </w:p>
    <w:p>
      <w:pPr>
        <w:spacing w:after="0" w:line="91"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auto"/>
        </w:rPr>
        <w:t>Executive Officer Benefits and Payments Upon Termination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35635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56350" cy="762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Certain</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Termination</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Events</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jc w:val="center"/>
              <w:ind w:right="43"/>
              <w:spacing w:after="0"/>
              <w:rPr>
                <w:sz w:val="20"/>
                <w:szCs w:val="20"/>
                <w:color w:val="auto"/>
              </w:rPr>
            </w:pPr>
            <w:r>
              <w:rPr>
                <w:rFonts w:ascii="Arial" w:cs="Arial" w:eastAsia="Arial" w:hAnsi="Arial"/>
                <w:sz w:val="15"/>
                <w:szCs w:val="15"/>
                <w:b w:val="1"/>
                <w:bCs w:val="1"/>
                <w:color w:val="auto"/>
              </w:rPr>
              <w:t>Good Reason</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jc w:val="center"/>
              <w:ind w:right="3"/>
              <w:spacing w:after="0"/>
              <w:rPr>
                <w:sz w:val="20"/>
                <w:szCs w:val="20"/>
                <w:color w:val="auto"/>
              </w:rPr>
            </w:pPr>
            <w:r>
              <w:rPr>
                <w:rFonts w:ascii="Arial" w:cs="Arial" w:eastAsia="Arial" w:hAnsi="Arial"/>
                <w:sz w:val="15"/>
                <w:szCs w:val="15"/>
                <w:b w:val="1"/>
                <w:bCs w:val="1"/>
                <w:color w:val="auto"/>
              </w:rPr>
              <w:t>Change of</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Following/</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jc w:val="center"/>
              <w:ind w:right="43"/>
              <w:spacing w:after="0"/>
              <w:rPr>
                <w:sz w:val="20"/>
                <w:szCs w:val="20"/>
                <w:color w:val="auto"/>
              </w:rPr>
            </w:pPr>
            <w:r>
              <w:rPr>
                <w:rFonts w:ascii="Arial" w:cs="Arial" w:eastAsia="Arial" w:hAnsi="Arial"/>
                <w:sz w:val="15"/>
                <w:szCs w:val="15"/>
                <w:b w:val="1"/>
                <w:bCs w:val="1"/>
                <w:color w:val="auto"/>
              </w:rPr>
              <w:t>or Involuntary</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jc w:val="center"/>
              <w:ind w:right="3"/>
              <w:spacing w:after="0"/>
              <w:rPr>
                <w:sz w:val="20"/>
                <w:szCs w:val="20"/>
                <w:color w:val="auto"/>
              </w:rPr>
            </w:pPr>
            <w:r>
              <w:rPr>
                <w:rFonts w:ascii="Arial" w:cs="Arial" w:eastAsia="Arial" w:hAnsi="Arial"/>
                <w:sz w:val="15"/>
                <w:szCs w:val="15"/>
                <w:b w:val="1"/>
                <w:bCs w:val="1"/>
                <w:color w:val="auto"/>
              </w:rPr>
              <w:t>Control</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Preceding a</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Arial" w:cs="Arial" w:eastAsia="Arial" w:hAnsi="Arial"/>
                <w:sz w:val="15"/>
                <w:szCs w:val="15"/>
                <w:b w:val="1"/>
                <w:bCs w:val="1"/>
                <w:color w:val="auto"/>
              </w:rPr>
              <w:t>Voluntary</w:t>
            </w:r>
          </w:p>
        </w:tc>
        <w:tc>
          <w:tcPr>
            <w:tcW w:w="1200" w:type="dxa"/>
            <w:vAlign w:val="bottom"/>
          </w:tcPr>
          <w:p>
            <w:pPr>
              <w:jc w:val="center"/>
              <w:ind w:right="43"/>
              <w:spacing w:after="0"/>
              <w:rPr>
                <w:sz w:val="20"/>
                <w:szCs w:val="20"/>
                <w:color w:val="auto"/>
              </w:rPr>
            </w:pPr>
            <w:r>
              <w:rPr>
                <w:rFonts w:ascii="Arial" w:cs="Arial" w:eastAsia="Arial" w:hAnsi="Arial"/>
                <w:sz w:val="15"/>
                <w:szCs w:val="15"/>
                <w:b w:val="1"/>
                <w:bCs w:val="1"/>
                <w:color w:val="auto"/>
              </w:rPr>
              <w:t>Not for Cause</w:t>
            </w:r>
          </w:p>
        </w:tc>
        <w:tc>
          <w:tcPr>
            <w:tcW w:w="1280" w:type="dxa"/>
            <w:vAlign w:val="bottom"/>
          </w:tcPr>
          <w:p>
            <w:pPr>
              <w:jc w:val="right"/>
              <w:ind w:right="303"/>
              <w:spacing w:after="0"/>
              <w:rPr>
                <w:sz w:val="20"/>
                <w:szCs w:val="20"/>
                <w:color w:val="auto"/>
              </w:rPr>
            </w:pPr>
            <w:r>
              <w:rPr>
                <w:rFonts w:ascii="Arial" w:cs="Arial" w:eastAsia="Arial" w:hAnsi="Arial"/>
                <w:sz w:val="15"/>
                <w:szCs w:val="15"/>
                <w:b w:val="1"/>
                <w:bCs w:val="1"/>
                <w:color w:val="auto"/>
              </w:rPr>
              <w:t>For Cause</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jc w:val="center"/>
              <w:ind w:right="3"/>
              <w:spacing w:after="0"/>
              <w:rPr>
                <w:sz w:val="20"/>
                <w:szCs w:val="20"/>
                <w:color w:val="auto"/>
              </w:rPr>
            </w:pPr>
            <w:r>
              <w:rPr>
                <w:rFonts w:ascii="Arial" w:cs="Arial" w:eastAsia="Arial" w:hAnsi="Arial"/>
                <w:sz w:val="15"/>
                <w:szCs w:val="15"/>
                <w:b w:val="1"/>
                <w:bCs w:val="1"/>
                <w:color w:val="auto"/>
              </w:rPr>
              <w:t>Without Regard</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Change of</w:t>
            </w:r>
          </w:p>
        </w:tc>
        <w:tc>
          <w:tcPr>
            <w:tcW w:w="0" w:type="dxa"/>
            <w:vAlign w:val="bottom"/>
          </w:tcPr>
          <w:p>
            <w:pPr>
              <w:spacing w:after="0"/>
              <w:rPr>
                <w:sz w:val="1"/>
                <w:szCs w:val="1"/>
                <w:color w:val="auto"/>
              </w:rPr>
            </w:pPr>
          </w:p>
        </w:tc>
      </w:tr>
      <w:tr>
        <w:trPr>
          <w:trHeight w:val="198"/>
        </w:trPr>
        <w:tc>
          <w:tcPr>
            <w:tcW w:w="1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Termination</w:t>
            </w:r>
          </w:p>
        </w:tc>
        <w:tc>
          <w:tcPr>
            <w:tcW w:w="120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rPr>
              <w:t>Termination</w:t>
            </w:r>
          </w:p>
        </w:tc>
        <w:tc>
          <w:tcPr>
            <w:tcW w:w="12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Termination</w:t>
            </w: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Death</w:t>
            </w: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Disability</w:t>
            </w:r>
          </w:p>
        </w:tc>
        <w:tc>
          <w:tcPr>
            <w:tcW w:w="122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to Termination</w:t>
            </w:r>
          </w:p>
        </w:tc>
        <w:tc>
          <w:tcPr>
            <w:tcW w:w="110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Control</w:t>
            </w:r>
          </w:p>
        </w:tc>
        <w:tc>
          <w:tcPr>
            <w:tcW w:w="0" w:type="dxa"/>
            <w:vAlign w:val="bottom"/>
          </w:tcPr>
          <w:p>
            <w:pPr>
              <w:spacing w:after="0"/>
              <w:rPr>
                <w:sz w:val="1"/>
                <w:szCs w:val="1"/>
                <w:color w:val="auto"/>
              </w:rPr>
            </w:pPr>
          </w:p>
        </w:tc>
      </w:tr>
      <w:tr>
        <w:trPr>
          <w:trHeight w:val="251"/>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Cash Compensation</w:t>
            </w:r>
          </w:p>
        </w:tc>
        <w:tc>
          <w:tcPr>
            <w:tcW w:w="120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261,803</w:t>
            </w:r>
            <w:r>
              <w:rPr>
                <w:rFonts w:ascii="Arial" w:cs="Arial" w:eastAsia="Arial" w:hAnsi="Arial"/>
                <w:sz w:val="24"/>
                <w:szCs w:val="24"/>
                <w:color w:val="auto"/>
                <w:vertAlign w:val="superscript"/>
              </w:rPr>
              <w:t>(2)</w:t>
            </w:r>
          </w:p>
        </w:tc>
        <w:tc>
          <w:tcPr>
            <w:tcW w:w="1200" w:type="dxa"/>
            <w:vAlign w:val="bottom"/>
            <w:shd w:val="clear" w:color="auto" w:fill="DFE4EA"/>
          </w:tcPr>
          <w:p>
            <w:pPr>
              <w:jc w:val="right"/>
              <w:ind w:right="3"/>
              <w:spacing w:after="0" w:line="251" w:lineRule="exact"/>
              <w:rPr>
                <w:sz w:val="20"/>
                <w:szCs w:val="20"/>
                <w:color w:val="auto"/>
              </w:rPr>
            </w:pPr>
            <w:r>
              <w:rPr>
                <w:rFonts w:ascii="Arial" w:cs="Arial" w:eastAsia="Arial" w:hAnsi="Arial"/>
                <w:sz w:val="15"/>
                <w:szCs w:val="15"/>
                <w:color w:val="auto"/>
              </w:rPr>
              <w:t>261,803</w:t>
            </w:r>
            <w:r>
              <w:rPr>
                <w:rFonts w:ascii="Arial" w:cs="Arial" w:eastAsia="Arial" w:hAnsi="Arial"/>
                <w:sz w:val="24"/>
                <w:szCs w:val="24"/>
                <w:color w:val="auto"/>
                <w:vertAlign w:val="superscript"/>
              </w:rPr>
              <w:t>(2)</w:t>
            </w:r>
          </w:p>
        </w:tc>
        <w:tc>
          <w:tcPr>
            <w:tcW w:w="1280" w:type="dxa"/>
            <w:vAlign w:val="bottom"/>
            <w:shd w:val="clear" w:color="auto" w:fill="DFE4EA"/>
          </w:tcPr>
          <w:p>
            <w:pPr>
              <w:jc w:val="right"/>
              <w:ind w:right="103"/>
              <w:spacing w:after="0" w:line="251" w:lineRule="exact"/>
              <w:rPr>
                <w:sz w:val="20"/>
                <w:szCs w:val="20"/>
                <w:color w:val="auto"/>
              </w:rPr>
            </w:pPr>
            <w:r>
              <w:rPr>
                <w:rFonts w:ascii="Arial" w:cs="Arial" w:eastAsia="Arial" w:hAnsi="Arial"/>
                <w:sz w:val="15"/>
                <w:szCs w:val="15"/>
                <w:color w:val="auto"/>
              </w:rPr>
              <w:t>261,803</w:t>
            </w:r>
            <w:r>
              <w:rPr>
                <w:rFonts w:ascii="Arial" w:cs="Arial" w:eastAsia="Arial" w:hAnsi="Arial"/>
                <w:sz w:val="24"/>
                <w:szCs w:val="24"/>
                <w:color w:val="auto"/>
                <w:vertAlign w:val="superscript"/>
              </w:rPr>
              <w:t>(2)</w:t>
            </w:r>
          </w:p>
        </w:tc>
        <w:tc>
          <w:tcPr>
            <w:tcW w:w="1100" w:type="dxa"/>
            <w:vAlign w:val="bottom"/>
            <w:shd w:val="clear" w:color="auto" w:fill="DFE4EA"/>
          </w:tcPr>
          <w:p>
            <w:pPr>
              <w:jc w:val="right"/>
              <w:ind w:right="23"/>
              <w:spacing w:after="0" w:line="251" w:lineRule="exact"/>
              <w:rPr>
                <w:sz w:val="20"/>
                <w:szCs w:val="20"/>
                <w:color w:val="auto"/>
              </w:rPr>
            </w:pPr>
            <w:r>
              <w:rPr>
                <w:rFonts w:ascii="Arial" w:cs="Arial" w:eastAsia="Arial" w:hAnsi="Arial"/>
                <w:sz w:val="15"/>
                <w:szCs w:val="15"/>
                <w:color w:val="auto"/>
              </w:rPr>
              <w:t>261,803</w:t>
            </w:r>
            <w:r>
              <w:rPr>
                <w:rFonts w:ascii="Arial" w:cs="Arial" w:eastAsia="Arial" w:hAnsi="Arial"/>
                <w:sz w:val="24"/>
                <w:szCs w:val="24"/>
                <w:color w:val="auto"/>
                <w:vertAlign w:val="superscript"/>
              </w:rPr>
              <w:t>(2)</w:t>
            </w:r>
          </w:p>
        </w:tc>
        <w:tc>
          <w:tcPr>
            <w:tcW w:w="106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261,803</w:t>
            </w:r>
            <w:r>
              <w:rPr>
                <w:rFonts w:ascii="Arial" w:cs="Arial" w:eastAsia="Arial" w:hAnsi="Arial"/>
                <w:sz w:val="24"/>
                <w:szCs w:val="24"/>
                <w:color w:val="auto"/>
                <w:vertAlign w:val="superscript"/>
              </w:rPr>
              <w:t>(2)</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spacing w:after="0" w:line="251" w:lineRule="exact"/>
              <w:rPr>
                <w:sz w:val="20"/>
                <w:szCs w:val="20"/>
                <w:color w:val="auto"/>
              </w:rPr>
            </w:pPr>
            <w:r>
              <w:rPr>
                <w:rFonts w:ascii="Arial" w:cs="Arial" w:eastAsia="Arial" w:hAnsi="Arial"/>
                <w:sz w:val="15"/>
                <w:szCs w:val="15"/>
                <w:color w:val="auto"/>
              </w:rPr>
              <w:t>1,058,327</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20"/>
                <w:szCs w:val="20"/>
                <w:color w:val="auto"/>
              </w:rPr>
            </w:pPr>
            <w:r>
              <w:rPr>
                <w:rFonts w:ascii="Arial" w:cs="Arial" w:eastAsia="Arial" w:hAnsi="Arial"/>
                <w:sz w:val="15"/>
                <w:szCs w:val="15"/>
                <w:color w:val="auto"/>
              </w:rPr>
              <w:t>Accelerated Stock Option</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2,823,997</w:t>
            </w:r>
            <w:r>
              <w:rPr>
                <w:rFonts w:ascii="Arial" w:cs="Arial" w:eastAsia="Arial" w:hAnsi="Arial"/>
                <w:sz w:val="24"/>
                <w:szCs w:val="24"/>
                <w:color w:val="auto"/>
                <w:vertAlign w:val="superscript"/>
              </w:rPr>
              <w:t>(4)</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2,823,997</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r>
        <w:trPr>
          <w:trHeight w:val="212"/>
        </w:trPr>
        <w:tc>
          <w:tcPr>
            <w:tcW w:w="1860" w:type="dxa"/>
            <w:vAlign w:val="bottom"/>
          </w:tcPr>
          <w:p>
            <w:pPr>
              <w:ind w:left="160"/>
              <w:spacing w:after="0"/>
              <w:rPr>
                <w:sz w:val="20"/>
                <w:szCs w:val="20"/>
                <w:color w:val="auto"/>
              </w:rPr>
            </w:pPr>
            <w:r>
              <w:rPr>
                <w:rFonts w:ascii="Arial" w:cs="Arial" w:eastAsia="Arial" w:hAnsi="Arial"/>
                <w:sz w:val="15"/>
                <w:szCs w:val="15"/>
                <w:color w:val="auto"/>
              </w:rPr>
              <w:t>Exercisability</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Accrued Vacation Pay</w:t>
            </w:r>
          </w:p>
        </w:tc>
        <w:tc>
          <w:tcPr>
            <w:tcW w:w="1200" w:type="dxa"/>
            <w:vAlign w:val="bottom"/>
            <w:shd w:val="clear" w:color="auto" w:fill="DFE4EA"/>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FE4EA"/>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4"/>
        </w:trPr>
        <w:tc>
          <w:tcPr>
            <w:tcW w:w="1860" w:type="dxa"/>
            <w:vAlign w:val="bottom"/>
          </w:tcPr>
          <w:p>
            <w:pPr>
              <w:spacing w:after="0"/>
              <w:rPr>
                <w:sz w:val="20"/>
                <w:szCs w:val="20"/>
                <w:color w:val="auto"/>
              </w:rPr>
            </w:pPr>
            <w:r>
              <w:rPr>
                <w:rFonts w:ascii="Arial" w:cs="Arial" w:eastAsia="Arial" w:hAnsi="Arial"/>
                <w:sz w:val="15"/>
                <w:szCs w:val="15"/>
                <w:color w:val="auto"/>
              </w:rPr>
              <w:t>Medical Benefits</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3"/>
              <w:spacing w:after="0" w:line="243" w:lineRule="exact"/>
              <w:rPr>
                <w:sz w:val="20"/>
                <w:szCs w:val="20"/>
                <w:color w:val="auto"/>
              </w:rPr>
            </w:pPr>
            <w:r>
              <w:rPr>
                <w:rFonts w:ascii="Arial" w:cs="Arial" w:eastAsia="Arial" w:hAnsi="Arial"/>
                <w:sz w:val="15"/>
                <w:szCs w:val="15"/>
                <w:color w:val="auto"/>
              </w:rPr>
              <w:t>26,746</w:t>
            </w:r>
            <w:r>
              <w:rPr>
                <w:rFonts w:ascii="Arial" w:cs="Arial" w:eastAsia="Arial" w:hAnsi="Arial"/>
                <w:sz w:val="24"/>
                <w:szCs w:val="24"/>
                <w:color w:val="auto"/>
                <w:vertAlign w:val="superscript"/>
              </w:rPr>
              <w:t>(5)</w:t>
            </w:r>
          </w:p>
        </w:tc>
        <w:tc>
          <w:tcPr>
            <w:tcW w:w="12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line="243" w:lineRule="exact"/>
              <w:rPr>
                <w:sz w:val="20"/>
                <w:szCs w:val="20"/>
                <w:color w:val="auto"/>
              </w:rPr>
            </w:pPr>
            <w:r>
              <w:rPr>
                <w:rFonts w:ascii="Arial" w:cs="Arial" w:eastAsia="Arial" w:hAnsi="Arial"/>
                <w:sz w:val="15"/>
                <w:szCs w:val="15"/>
                <w:color w:val="auto"/>
              </w:rPr>
              <w:t>26,746</w:t>
            </w:r>
            <w:r>
              <w:rPr>
                <w:rFonts w:ascii="Arial" w:cs="Arial" w:eastAsia="Arial" w:hAnsi="Arial"/>
                <w:sz w:val="24"/>
                <w:szCs w:val="24"/>
                <w:color w:val="auto"/>
                <w:vertAlign w:val="superscript"/>
              </w:rPr>
              <w:t>(5)</w:t>
            </w:r>
          </w:p>
        </w:tc>
        <w:tc>
          <w:tcPr>
            <w:tcW w:w="1060" w:type="dxa"/>
            <w:vAlign w:val="bottom"/>
          </w:tcPr>
          <w:p>
            <w:pPr>
              <w:jc w:val="right"/>
              <w:spacing w:after="0" w:line="243" w:lineRule="exact"/>
              <w:rPr>
                <w:sz w:val="20"/>
                <w:szCs w:val="20"/>
                <w:color w:val="auto"/>
              </w:rPr>
            </w:pPr>
            <w:r>
              <w:rPr>
                <w:rFonts w:ascii="Arial" w:cs="Arial" w:eastAsia="Arial" w:hAnsi="Arial"/>
                <w:sz w:val="15"/>
                <w:szCs w:val="15"/>
                <w:color w:val="auto"/>
              </w:rPr>
              <w:t>26,746</w:t>
            </w:r>
            <w:r>
              <w:rPr>
                <w:rFonts w:ascii="Arial" w:cs="Arial" w:eastAsia="Arial" w:hAnsi="Arial"/>
                <w:sz w:val="24"/>
                <w:szCs w:val="24"/>
                <w:color w:val="auto"/>
                <w:vertAlign w:val="superscript"/>
              </w:rPr>
              <w:t>(5)</w:t>
            </w:r>
          </w:p>
        </w:tc>
        <w:tc>
          <w:tcPr>
            <w:tcW w:w="12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243" w:lineRule="exact"/>
              <w:rPr>
                <w:sz w:val="20"/>
                <w:szCs w:val="20"/>
                <w:color w:val="auto"/>
              </w:rPr>
            </w:pPr>
            <w:r>
              <w:rPr>
                <w:rFonts w:ascii="Arial" w:cs="Arial" w:eastAsia="Arial" w:hAnsi="Arial"/>
                <w:sz w:val="15"/>
                <w:szCs w:val="15"/>
                <w:color w:val="auto"/>
              </w:rPr>
              <w:t>26,746</w:t>
            </w:r>
            <w:r>
              <w:rPr>
                <w:rFonts w:ascii="Arial" w:cs="Arial" w:eastAsia="Arial" w:hAnsi="Arial"/>
                <w:sz w:val="24"/>
                <w:szCs w:val="24"/>
                <w:color w:val="auto"/>
                <w:vertAlign w:val="superscript"/>
              </w:rPr>
              <w:t>(5)</w:t>
            </w:r>
          </w:p>
        </w:tc>
        <w:tc>
          <w:tcPr>
            <w:tcW w:w="0" w:type="dxa"/>
            <w:vAlign w:val="bottom"/>
          </w:tcPr>
          <w:p>
            <w:pPr>
              <w:spacing w:after="0"/>
              <w:rPr>
                <w:sz w:val="1"/>
                <w:szCs w:val="1"/>
                <w:color w:val="auto"/>
              </w:rPr>
            </w:pPr>
          </w:p>
        </w:tc>
      </w:tr>
      <w:tr>
        <w:trPr>
          <w:trHeight w:val="182"/>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Spread Value of Vested</w:t>
            </w:r>
          </w:p>
        </w:tc>
        <w:tc>
          <w:tcPr>
            <w:tcW w:w="1200" w:type="dxa"/>
            <w:vAlign w:val="bottom"/>
            <w:shd w:val="clear" w:color="auto" w:fill="DFE4EA"/>
          </w:tcPr>
          <w:p>
            <w:pPr>
              <w:spacing w:after="0"/>
              <w:rPr>
                <w:sz w:val="15"/>
                <w:szCs w:val="15"/>
                <w:color w:val="auto"/>
              </w:rPr>
            </w:pPr>
          </w:p>
        </w:tc>
        <w:tc>
          <w:tcPr>
            <w:tcW w:w="1200" w:type="dxa"/>
            <w:vAlign w:val="bottom"/>
            <w:shd w:val="clear" w:color="auto" w:fill="DFE4EA"/>
          </w:tcPr>
          <w:p>
            <w:pPr>
              <w:spacing w:after="0"/>
              <w:rPr>
                <w:sz w:val="15"/>
                <w:szCs w:val="15"/>
                <w:color w:val="auto"/>
              </w:rPr>
            </w:pPr>
          </w:p>
        </w:tc>
        <w:tc>
          <w:tcPr>
            <w:tcW w:w="1280" w:type="dxa"/>
            <w:vAlign w:val="bottom"/>
            <w:shd w:val="clear" w:color="auto" w:fill="DFE4EA"/>
          </w:tcPr>
          <w:p>
            <w:pPr>
              <w:spacing w:after="0"/>
              <w:rPr>
                <w:sz w:val="15"/>
                <w:szCs w:val="15"/>
                <w:color w:val="auto"/>
              </w:rPr>
            </w:pPr>
          </w:p>
        </w:tc>
        <w:tc>
          <w:tcPr>
            <w:tcW w:w="1100" w:type="dxa"/>
            <w:vAlign w:val="bottom"/>
            <w:shd w:val="clear" w:color="auto" w:fill="DFE4EA"/>
          </w:tcPr>
          <w:p>
            <w:pPr>
              <w:spacing w:after="0"/>
              <w:rPr>
                <w:sz w:val="15"/>
                <w:szCs w:val="15"/>
                <w:color w:val="auto"/>
              </w:rPr>
            </w:pPr>
          </w:p>
        </w:tc>
        <w:tc>
          <w:tcPr>
            <w:tcW w:w="1060" w:type="dxa"/>
            <w:vAlign w:val="bottom"/>
            <w:shd w:val="clear" w:color="auto" w:fill="DFE4EA"/>
          </w:tcPr>
          <w:p>
            <w:pPr>
              <w:spacing w:after="0"/>
              <w:rPr>
                <w:sz w:val="15"/>
                <w:szCs w:val="15"/>
                <w:color w:val="auto"/>
              </w:rPr>
            </w:pPr>
          </w:p>
        </w:tc>
        <w:tc>
          <w:tcPr>
            <w:tcW w:w="1220" w:type="dxa"/>
            <w:vAlign w:val="bottom"/>
            <w:shd w:val="clear" w:color="auto" w:fill="DFE4EA"/>
          </w:tcPr>
          <w:p>
            <w:pPr>
              <w:spacing w:after="0"/>
              <w:rPr>
                <w:sz w:val="15"/>
                <w:szCs w:val="15"/>
                <w:color w:val="auto"/>
              </w:rPr>
            </w:pPr>
          </w:p>
        </w:tc>
        <w:tc>
          <w:tcPr>
            <w:tcW w:w="1100" w:type="dxa"/>
            <w:vAlign w:val="bottom"/>
            <w:shd w:val="clear" w:color="auto" w:fill="DFE4EA"/>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DFE4EA"/>
          </w:tcPr>
          <w:p>
            <w:pPr>
              <w:ind w:left="160"/>
              <w:spacing w:after="0"/>
              <w:rPr>
                <w:sz w:val="20"/>
                <w:szCs w:val="20"/>
                <w:color w:val="auto"/>
              </w:rPr>
            </w:pPr>
            <w:r>
              <w:rPr>
                <w:rFonts w:ascii="Arial" w:cs="Arial" w:eastAsia="Arial" w:hAnsi="Arial"/>
                <w:sz w:val="15"/>
                <w:szCs w:val="15"/>
                <w:color w:val="auto"/>
              </w:rPr>
              <w:t>Options</w:t>
            </w:r>
          </w:p>
        </w:tc>
        <w:tc>
          <w:tcPr>
            <w:tcW w:w="1200" w:type="dxa"/>
            <w:vAlign w:val="bottom"/>
            <w:shd w:val="clear" w:color="auto" w:fill="DFE4EA"/>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FE4EA"/>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20"/>
                <w:szCs w:val="20"/>
                <w:color w:val="auto"/>
              </w:rPr>
            </w:pPr>
            <w:r>
              <w:rPr>
                <w:rFonts w:ascii="Arial" w:cs="Arial" w:eastAsia="Arial" w:hAnsi="Arial"/>
                <w:sz w:val="15"/>
                <w:szCs w:val="15"/>
                <w:color w:val="auto"/>
              </w:rPr>
              <w:t>Accelerated Vesting of</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tcPr>
          <w:p>
            <w:pPr>
              <w:ind w:left="160"/>
              <w:spacing w:after="0"/>
              <w:rPr>
                <w:sz w:val="20"/>
                <w:szCs w:val="20"/>
                <w:color w:val="auto"/>
              </w:rPr>
            </w:pPr>
            <w:r>
              <w:rPr>
                <w:rFonts w:ascii="Arial" w:cs="Arial" w:eastAsia="Arial" w:hAnsi="Arial"/>
                <w:sz w:val="15"/>
                <w:szCs w:val="15"/>
                <w:color w:val="auto"/>
              </w:rPr>
              <w:t>Restricted Stock and</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tcPr>
          <w:p>
            <w:pPr>
              <w:ind w:left="160"/>
              <w:spacing w:after="0"/>
              <w:rPr>
                <w:sz w:val="20"/>
                <w:szCs w:val="20"/>
                <w:color w:val="auto"/>
              </w:rPr>
            </w:pPr>
            <w:r>
              <w:rPr>
                <w:rFonts w:ascii="Arial" w:cs="Arial" w:eastAsia="Arial" w:hAnsi="Arial"/>
                <w:sz w:val="15"/>
                <w:szCs w:val="15"/>
                <w:color w:val="auto"/>
              </w:rPr>
              <w:t>Performance Stock</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3,741,981</w:t>
            </w:r>
            <w:r>
              <w:rPr>
                <w:rFonts w:ascii="Arial" w:cs="Arial" w:eastAsia="Arial" w:hAnsi="Arial"/>
                <w:sz w:val="24"/>
                <w:szCs w:val="24"/>
                <w:color w:val="auto"/>
                <w:vertAlign w:val="superscript"/>
              </w:rPr>
              <w:t>(6)</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3,741,981</w:t>
            </w:r>
            <w:r>
              <w:rPr>
                <w:rFonts w:ascii="Arial" w:cs="Arial" w:eastAsia="Arial" w:hAnsi="Arial"/>
                <w:sz w:val="24"/>
                <w:szCs w:val="24"/>
                <w:color w:val="auto"/>
                <w:vertAlign w:val="superscript"/>
              </w:rPr>
              <w:t>(6)</w:t>
            </w:r>
          </w:p>
        </w:tc>
        <w:tc>
          <w:tcPr>
            <w:tcW w:w="0" w:type="dxa"/>
            <w:vAlign w:val="bottom"/>
          </w:tcPr>
          <w:p>
            <w:pPr>
              <w:spacing w:after="0"/>
              <w:rPr>
                <w:sz w:val="1"/>
                <w:szCs w:val="1"/>
                <w:color w:val="auto"/>
              </w:rPr>
            </w:pPr>
          </w:p>
        </w:tc>
      </w:tr>
      <w:tr>
        <w:trPr>
          <w:trHeight w:val="212"/>
        </w:trPr>
        <w:tc>
          <w:tcPr>
            <w:tcW w:w="1860" w:type="dxa"/>
            <w:vAlign w:val="bottom"/>
          </w:tcPr>
          <w:p>
            <w:pPr>
              <w:ind w:left="160"/>
              <w:spacing w:after="0"/>
              <w:rPr>
                <w:sz w:val="20"/>
                <w:szCs w:val="20"/>
                <w:color w:val="auto"/>
              </w:rPr>
            </w:pPr>
            <w:r>
              <w:rPr>
                <w:rFonts w:ascii="Arial" w:cs="Arial" w:eastAsia="Arial" w:hAnsi="Arial"/>
                <w:sz w:val="15"/>
                <w:szCs w:val="15"/>
                <w:color w:val="auto"/>
              </w:rPr>
              <w:t>Units</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shd w:val="clear" w:color="auto" w:fill="DFE4EA"/>
          </w:tcPr>
          <w:p>
            <w:pPr>
              <w:spacing w:after="0"/>
              <w:rPr>
                <w:sz w:val="20"/>
                <w:szCs w:val="20"/>
                <w:color w:val="auto"/>
              </w:rPr>
            </w:pPr>
            <w:r>
              <w:rPr>
                <w:rFonts w:ascii="Arial" w:cs="Arial" w:eastAsia="Arial" w:hAnsi="Arial"/>
                <w:sz w:val="15"/>
                <w:szCs w:val="15"/>
                <w:b w:val="1"/>
                <w:bCs w:val="1"/>
                <w:color w:val="auto"/>
              </w:rPr>
              <w:t>Total</w:t>
            </w:r>
          </w:p>
        </w:tc>
        <w:tc>
          <w:tcPr>
            <w:tcW w:w="1200" w:type="dxa"/>
            <w:vAlign w:val="bottom"/>
            <w:shd w:val="clear" w:color="auto" w:fill="DFE4EA"/>
          </w:tcPr>
          <w:p>
            <w:pPr>
              <w:jc w:val="right"/>
              <w:ind w:right="83"/>
              <w:spacing w:after="0"/>
              <w:rPr>
                <w:sz w:val="20"/>
                <w:szCs w:val="20"/>
                <w:color w:val="auto"/>
              </w:rPr>
            </w:pPr>
            <w:r>
              <w:rPr>
                <w:rFonts w:ascii="Arial" w:cs="Arial" w:eastAsia="Arial" w:hAnsi="Arial"/>
                <w:sz w:val="15"/>
                <w:szCs w:val="15"/>
                <w:b w:val="1"/>
                <w:bCs w:val="1"/>
                <w:color w:val="auto"/>
              </w:rPr>
              <w:t>261,803</w:t>
            </w:r>
          </w:p>
        </w:tc>
        <w:tc>
          <w:tcPr>
            <w:tcW w:w="1200" w:type="dxa"/>
            <w:vAlign w:val="bottom"/>
            <w:shd w:val="clear" w:color="auto" w:fill="DFE4EA"/>
          </w:tcPr>
          <w:p>
            <w:pPr>
              <w:jc w:val="right"/>
              <w:ind w:right="123"/>
              <w:spacing w:after="0"/>
              <w:rPr>
                <w:sz w:val="20"/>
                <w:szCs w:val="20"/>
                <w:color w:val="auto"/>
              </w:rPr>
            </w:pPr>
            <w:r>
              <w:rPr>
                <w:rFonts w:ascii="Arial" w:cs="Arial" w:eastAsia="Arial" w:hAnsi="Arial"/>
                <w:sz w:val="15"/>
                <w:szCs w:val="15"/>
                <w:b w:val="1"/>
                <w:bCs w:val="1"/>
                <w:color w:val="auto"/>
              </w:rPr>
              <w:t>288,549</w:t>
            </w:r>
          </w:p>
        </w:tc>
        <w:tc>
          <w:tcPr>
            <w:tcW w:w="1280" w:type="dxa"/>
            <w:vAlign w:val="bottom"/>
            <w:shd w:val="clear" w:color="auto" w:fill="DFE4EA"/>
          </w:tcPr>
          <w:p>
            <w:pPr>
              <w:jc w:val="right"/>
              <w:ind w:right="223"/>
              <w:spacing w:after="0"/>
              <w:rPr>
                <w:sz w:val="20"/>
                <w:szCs w:val="20"/>
                <w:color w:val="auto"/>
              </w:rPr>
            </w:pPr>
            <w:r>
              <w:rPr>
                <w:rFonts w:ascii="Arial" w:cs="Arial" w:eastAsia="Arial" w:hAnsi="Arial"/>
                <w:sz w:val="15"/>
                <w:szCs w:val="15"/>
                <w:b w:val="1"/>
                <w:bCs w:val="1"/>
                <w:color w:val="auto"/>
              </w:rPr>
              <w:t>261,803</w:t>
            </w:r>
          </w:p>
        </w:tc>
        <w:tc>
          <w:tcPr>
            <w:tcW w:w="1100" w:type="dxa"/>
            <w:vAlign w:val="bottom"/>
            <w:shd w:val="clear" w:color="auto" w:fill="DFE4EA"/>
          </w:tcPr>
          <w:p>
            <w:pPr>
              <w:jc w:val="right"/>
              <w:ind w:right="163"/>
              <w:spacing w:after="0"/>
              <w:rPr>
                <w:sz w:val="20"/>
                <w:szCs w:val="20"/>
                <w:color w:val="auto"/>
              </w:rPr>
            </w:pPr>
            <w:r>
              <w:rPr>
                <w:rFonts w:ascii="Arial" w:cs="Arial" w:eastAsia="Arial" w:hAnsi="Arial"/>
                <w:sz w:val="15"/>
                <w:szCs w:val="15"/>
                <w:b w:val="1"/>
                <w:bCs w:val="1"/>
                <w:color w:val="auto"/>
              </w:rPr>
              <w:t>288,549</w:t>
            </w:r>
          </w:p>
        </w:tc>
        <w:tc>
          <w:tcPr>
            <w:tcW w:w="1060" w:type="dxa"/>
            <w:vAlign w:val="bottom"/>
            <w:shd w:val="clear" w:color="auto" w:fill="DFE4EA"/>
          </w:tcPr>
          <w:p>
            <w:pPr>
              <w:jc w:val="right"/>
              <w:ind w:right="63"/>
              <w:spacing w:after="0"/>
              <w:rPr>
                <w:sz w:val="20"/>
                <w:szCs w:val="20"/>
                <w:color w:val="auto"/>
              </w:rPr>
            </w:pPr>
            <w:r>
              <w:rPr>
                <w:rFonts w:ascii="Arial" w:cs="Arial" w:eastAsia="Arial" w:hAnsi="Arial"/>
                <w:sz w:val="15"/>
                <w:szCs w:val="15"/>
                <w:b w:val="1"/>
                <w:bCs w:val="1"/>
                <w:color w:val="auto"/>
              </w:rPr>
              <w:t>288,549</w:t>
            </w:r>
          </w:p>
        </w:tc>
        <w:tc>
          <w:tcPr>
            <w:tcW w:w="1220" w:type="dxa"/>
            <w:vAlign w:val="bottom"/>
            <w:shd w:val="clear" w:color="auto" w:fill="DFE4EA"/>
          </w:tcPr>
          <w:p>
            <w:pPr>
              <w:jc w:val="right"/>
              <w:ind w:right="123"/>
              <w:spacing w:after="0"/>
              <w:rPr>
                <w:sz w:val="20"/>
                <w:szCs w:val="20"/>
                <w:color w:val="auto"/>
              </w:rPr>
            </w:pPr>
            <w:r>
              <w:rPr>
                <w:rFonts w:ascii="Arial" w:cs="Arial" w:eastAsia="Arial" w:hAnsi="Arial"/>
                <w:sz w:val="15"/>
                <w:szCs w:val="15"/>
                <w:b w:val="1"/>
                <w:bCs w:val="1"/>
                <w:color w:val="auto"/>
              </w:rPr>
              <w:t>6,565,978</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b w:val="1"/>
                <w:bCs w:val="1"/>
                <w:color w:val="auto"/>
              </w:rPr>
              <w:t>7,651,051</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20" w:hanging="219"/>
        <w:spacing w:after="0"/>
        <w:tabs>
          <w:tab w:leader="none" w:pos="22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This table assumes that all termination events occurred on December 31, 2025.</w:t>
      </w:r>
    </w:p>
    <w:p>
      <w:pPr>
        <w:spacing w:after="0" w:line="117"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the Company-performance components of the 2025 annual incentive plan that Mr. Davis was entitled to on December 31, 2025. No amount is included for the personal performance component of the annual incentive plan.</w:t>
      </w:r>
    </w:p>
    <w:p>
      <w:pPr>
        <w:spacing w:after="0" w:line="118"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1.5x the sum of Mr. Davis’s 2025 annual base salary and his entire cash bonus for 2024, as the 2025 bonus had not been determined or distributed as of December 31, 2025. This amount assumes that following a change of control, Mr. Davis terminated his employment for good reason, or we terminated his employment without cause. Mr. Davis would also receive the amount shown if we terminated his employment without cause at any time within the six months prior to the change of control.</w:t>
      </w:r>
    </w:p>
    <w:p>
      <w:pPr>
        <w:spacing w:after="0" w:line="108"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The 2020 ECIP provides that the exercisability of outstanding options accelerates upon a change of control. The accelerated options had value on December 31, 2025, to the extent that the exercise prices of the options were lower than the closing price of our common stock on the NYSE on December 31, 2025, of $45.61. The value for each option is calculated as the difference between the exercise price of the option and the closing price of our common stock at the end of the fiscal year, to the extent positive.</w:t>
      </w:r>
    </w:p>
    <w:p>
      <w:pPr>
        <w:spacing w:after="0" w:line="120" w:lineRule="exact"/>
        <w:rPr>
          <w:rFonts w:ascii="Arial" w:cs="Arial" w:eastAsia="Arial" w:hAnsi="Arial"/>
          <w:sz w:val="22"/>
          <w:szCs w:val="22"/>
          <w:color w:val="auto"/>
          <w:vertAlign w:val="superscript"/>
        </w:rPr>
      </w:pPr>
    </w:p>
    <w:p>
      <w:pPr>
        <w:jc w:val="both"/>
        <w:ind w:left="220" w:hanging="219"/>
        <w:spacing w:after="0" w:line="218" w:lineRule="auto"/>
        <w:tabs>
          <w:tab w:leader="none" w:pos="22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Under the terms of Mr. Davis’s change of control agreement, upon a change of control event, if Mr. Davis terminates his employment for good reason or we terminate his employment without cause, we would continue to provide him and his family with health benefits coverage, at our expense, for up to 18 months (or until he is provided comparable benefits by another employer). Amount shown represents the value of 18 months of coverage under our health plans, using costs in effect as of December 31, 2025.</w:t>
      </w:r>
    </w:p>
    <w:p>
      <w:pPr>
        <w:spacing w:after="0" w:line="120"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The 2020 ECIP provides that all unvested shares of restricted stock and performance stock units become fully vested upon a change of control. The accelerated restricted stock and performance stock units are valued at the closing price of our common stock on the NYSE on December 31, 2025, of $45.61, and the 2025 performance stock units are assumed to have been earned at target level.</w:t>
      </w:r>
    </w:p>
    <w:p>
      <w:pPr>
        <w:sectPr>
          <w:pgSz w:w="11900" w:h="16838" w:orient="portrait"/>
          <w:cols w:equalWidth="0" w:num="1">
            <w:col w:w="10020"/>
          </w:cols>
          <w:pgMar w:left="980" w:top="88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81" w:right="89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5"/>
          <w:szCs w:val="15"/>
          <w:b w:val="1"/>
          <w:bCs w:val="1"/>
          <w:color w:val="auto"/>
        </w:rPr>
        <w:t>Marshall S. Stanton, Senior Vice President, Clinical Research and Chief Medical Officer</w:t>
      </w:r>
      <w:r>
        <w:rPr>
          <w:rFonts w:ascii="Arial" w:cs="Arial" w:eastAsia="Arial" w:hAnsi="Arial"/>
          <w:sz w:val="24"/>
          <w:szCs w:val="24"/>
          <w:b w:val="1"/>
          <w:bCs w:val="1"/>
          <w:color w:val="auto"/>
          <w:vertAlign w:val="superscript"/>
        </w:rPr>
        <w:t>(1)</w:t>
      </w:r>
    </w:p>
    <w:p>
      <w:pPr>
        <w:spacing w:after="0" w:line="93" w:lineRule="exact"/>
        <w:rPr>
          <w:sz w:val="20"/>
          <w:szCs w:val="20"/>
          <w:color w:val="auto"/>
        </w:rPr>
      </w:pPr>
    </w:p>
    <w:p>
      <w:pPr>
        <w:ind w:left="2640"/>
        <w:spacing w:after="0"/>
        <w:rPr>
          <w:sz w:val="20"/>
          <w:szCs w:val="20"/>
          <w:color w:val="auto"/>
        </w:rPr>
      </w:pPr>
      <w:r>
        <w:rPr>
          <w:rFonts w:ascii="Arial" w:cs="Arial" w:eastAsia="Arial" w:hAnsi="Arial"/>
          <w:sz w:val="15"/>
          <w:szCs w:val="15"/>
          <w:b w:val="1"/>
          <w:bCs w:val="1"/>
          <w:color w:val="auto"/>
        </w:rPr>
        <w:t>Executive Officer Benefits and Payments Upon Termination ($)</w:t>
      </w:r>
      <w:r>
        <w:rPr>
          <w:rFonts w:ascii="Arial" w:cs="Arial" w:eastAsia="Arial" w:hAnsi="Arial"/>
          <w:sz w:val="24"/>
          <w:szCs w:val="24"/>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635635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5635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1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jc w:val="center"/>
              <w:ind w:right="3"/>
              <w:spacing w:after="0" w:line="158" w:lineRule="exact"/>
              <w:rPr>
                <w:sz w:val="20"/>
                <w:szCs w:val="20"/>
                <w:color w:val="auto"/>
              </w:rPr>
            </w:pPr>
            <w:r>
              <w:rPr>
                <w:rFonts w:ascii="Arial" w:cs="Arial" w:eastAsia="Arial" w:hAnsi="Arial"/>
                <w:sz w:val="15"/>
                <w:szCs w:val="15"/>
                <w:b w:val="1"/>
                <w:bCs w:val="1"/>
                <w:color w:val="auto"/>
              </w:rPr>
              <w:t>Certain</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Termination</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Events</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Good Reason</w:t>
            </w: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Change of</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Following/</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or Involuntary</w:t>
            </w: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Control</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Preceding a</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120" w:type="dxa"/>
            <w:vAlign w:val="bottom"/>
          </w:tcPr>
          <w:p>
            <w:pPr>
              <w:ind w:left="220"/>
              <w:spacing w:after="0"/>
              <w:rPr>
                <w:sz w:val="20"/>
                <w:szCs w:val="20"/>
                <w:color w:val="auto"/>
              </w:rPr>
            </w:pPr>
            <w:r>
              <w:rPr>
                <w:rFonts w:ascii="Arial" w:cs="Arial" w:eastAsia="Arial" w:hAnsi="Arial"/>
                <w:sz w:val="15"/>
                <w:szCs w:val="15"/>
                <w:b w:val="1"/>
                <w:bCs w:val="1"/>
                <w:color w:val="auto"/>
              </w:rPr>
              <w:t>Voluntary</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Not for Cause</w:t>
            </w:r>
          </w:p>
        </w:tc>
        <w:tc>
          <w:tcPr>
            <w:tcW w:w="1260" w:type="dxa"/>
            <w:vAlign w:val="bottom"/>
          </w:tcPr>
          <w:p>
            <w:pPr>
              <w:ind w:left="180"/>
              <w:spacing w:after="0"/>
              <w:rPr>
                <w:sz w:val="20"/>
                <w:szCs w:val="20"/>
                <w:color w:val="auto"/>
              </w:rPr>
            </w:pPr>
            <w:r>
              <w:rPr>
                <w:rFonts w:ascii="Arial" w:cs="Arial" w:eastAsia="Arial" w:hAnsi="Arial"/>
                <w:sz w:val="15"/>
                <w:szCs w:val="15"/>
                <w:b w:val="1"/>
                <w:bCs w:val="1"/>
                <w:color w:val="auto"/>
              </w:rPr>
              <w:t>For Cause</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Without Regard</w:t>
            </w:r>
          </w:p>
        </w:tc>
        <w:tc>
          <w:tcPr>
            <w:tcW w:w="1100" w:type="dxa"/>
            <w:vAlign w:val="bottom"/>
          </w:tcPr>
          <w:p>
            <w:pPr>
              <w:jc w:val="center"/>
              <w:ind w:right="3"/>
              <w:spacing w:after="0"/>
              <w:rPr>
                <w:sz w:val="20"/>
                <w:szCs w:val="20"/>
                <w:color w:val="auto"/>
              </w:rPr>
            </w:pPr>
            <w:r>
              <w:rPr>
                <w:rFonts w:ascii="Arial" w:cs="Arial" w:eastAsia="Arial" w:hAnsi="Arial"/>
                <w:sz w:val="15"/>
                <w:szCs w:val="15"/>
                <w:b w:val="1"/>
                <w:bCs w:val="1"/>
                <w:color w:val="auto"/>
              </w:rPr>
              <w:t>Change of</w:t>
            </w:r>
          </w:p>
        </w:tc>
        <w:tc>
          <w:tcPr>
            <w:tcW w:w="0" w:type="dxa"/>
            <w:vAlign w:val="bottom"/>
          </w:tcPr>
          <w:p>
            <w:pPr>
              <w:spacing w:after="0"/>
              <w:rPr>
                <w:sz w:val="1"/>
                <w:szCs w:val="1"/>
                <w:color w:val="auto"/>
              </w:rPr>
            </w:pPr>
          </w:p>
        </w:tc>
      </w:tr>
      <w:tr>
        <w:trPr>
          <w:trHeight w:val="198"/>
        </w:trPr>
        <w:tc>
          <w:tcPr>
            <w:tcW w:w="18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Termination</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Termination</w:t>
            </w: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Termination</w:t>
            </w: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Death</w:t>
            </w: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Disability</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to Termination</w:t>
            </w:r>
          </w:p>
        </w:tc>
        <w:tc>
          <w:tcPr>
            <w:tcW w:w="110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Control</w:t>
            </w:r>
          </w:p>
        </w:tc>
        <w:tc>
          <w:tcPr>
            <w:tcW w:w="0" w:type="dxa"/>
            <w:vAlign w:val="bottom"/>
          </w:tcPr>
          <w:p>
            <w:pPr>
              <w:spacing w:after="0"/>
              <w:rPr>
                <w:sz w:val="1"/>
                <w:szCs w:val="1"/>
                <w:color w:val="auto"/>
              </w:rPr>
            </w:pPr>
          </w:p>
        </w:tc>
      </w:tr>
      <w:tr>
        <w:trPr>
          <w:trHeight w:val="228"/>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Cash Compensation</w:t>
            </w:r>
          </w:p>
        </w:tc>
        <w:tc>
          <w:tcPr>
            <w:tcW w:w="1120" w:type="dxa"/>
            <w:vAlign w:val="bottom"/>
            <w:shd w:val="clear" w:color="auto" w:fill="DFE4EA"/>
          </w:tcPr>
          <w:p>
            <w:pPr>
              <w:ind w:left="860"/>
              <w:spacing w:after="0"/>
              <w:rPr>
                <w:sz w:val="20"/>
                <w:szCs w:val="20"/>
                <w:color w:val="auto"/>
              </w:rPr>
            </w:pPr>
            <w:r>
              <w:rPr>
                <w:rFonts w:ascii="Arial" w:cs="Arial" w:eastAsia="Arial" w:hAnsi="Arial"/>
                <w:sz w:val="15"/>
                <w:szCs w:val="15"/>
                <w:color w:val="auto"/>
              </w:rPr>
              <w:t>—</w:t>
            </w:r>
          </w:p>
        </w:tc>
        <w:tc>
          <w:tcPr>
            <w:tcW w:w="1240" w:type="dxa"/>
            <w:vAlign w:val="bottom"/>
            <w:shd w:val="clear" w:color="auto" w:fill="DFE4EA"/>
          </w:tcPr>
          <w:p>
            <w:pPr>
              <w:ind w:left="920"/>
              <w:spacing w:after="0"/>
              <w:rPr>
                <w:sz w:val="20"/>
                <w:szCs w:val="20"/>
                <w:color w:val="auto"/>
              </w:rPr>
            </w:pPr>
            <w:r>
              <w:rPr>
                <w:rFonts w:ascii="Arial" w:cs="Arial" w:eastAsia="Arial" w:hAnsi="Arial"/>
                <w:sz w:val="15"/>
                <w:szCs w:val="15"/>
                <w:color w:val="auto"/>
              </w:rPr>
              <w:t>—</w:t>
            </w:r>
          </w:p>
        </w:tc>
        <w:tc>
          <w:tcPr>
            <w:tcW w:w="1260" w:type="dxa"/>
            <w:vAlign w:val="bottom"/>
            <w:shd w:val="clear" w:color="auto" w:fill="DFE4EA"/>
          </w:tcPr>
          <w:p>
            <w:pPr>
              <w:ind w:left="8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ind w:left="7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DFE4EA"/>
          </w:tcPr>
          <w:p>
            <w:pPr>
              <w:ind w:left="8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20"/>
                <w:szCs w:val="20"/>
                <w:color w:val="auto"/>
              </w:rPr>
            </w:pPr>
            <w:r>
              <w:rPr>
                <w:rFonts w:ascii="Arial" w:cs="Arial" w:eastAsia="Arial" w:hAnsi="Arial"/>
                <w:sz w:val="15"/>
                <w:szCs w:val="15"/>
                <w:color w:val="auto"/>
              </w:rPr>
              <w:t>Accelerated Stock Option</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860" w:type="dxa"/>
            <w:vAlign w:val="bottom"/>
          </w:tcPr>
          <w:p>
            <w:pPr>
              <w:ind w:left="160"/>
              <w:spacing w:after="0"/>
              <w:rPr>
                <w:sz w:val="20"/>
                <w:szCs w:val="20"/>
                <w:color w:val="auto"/>
              </w:rPr>
            </w:pPr>
            <w:r>
              <w:rPr>
                <w:rFonts w:ascii="Arial" w:cs="Arial" w:eastAsia="Arial" w:hAnsi="Arial"/>
                <w:sz w:val="15"/>
                <w:szCs w:val="15"/>
                <w:color w:val="auto"/>
              </w:rPr>
              <w:t>Exercisability</w:t>
            </w:r>
          </w:p>
        </w:tc>
        <w:tc>
          <w:tcPr>
            <w:tcW w:w="1120" w:type="dxa"/>
            <w:vAlign w:val="bottom"/>
          </w:tcPr>
          <w:p>
            <w:pPr>
              <w:ind w:left="860"/>
              <w:spacing w:after="0"/>
              <w:rPr>
                <w:sz w:val="20"/>
                <w:szCs w:val="20"/>
                <w:color w:val="auto"/>
              </w:rPr>
            </w:pPr>
            <w:r>
              <w:rPr>
                <w:rFonts w:ascii="Arial" w:cs="Arial" w:eastAsia="Arial" w:hAnsi="Arial"/>
                <w:sz w:val="15"/>
                <w:szCs w:val="15"/>
                <w:color w:val="auto"/>
              </w:rPr>
              <w:t>—</w:t>
            </w:r>
          </w:p>
        </w:tc>
        <w:tc>
          <w:tcPr>
            <w:tcW w:w="1240" w:type="dxa"/>
            <w:vAlign w:val="bottom"/>
          </w:tcPr>
          <w:p>
            <w:pPr>
              <w:ind w:left="920"/>
              <w:spacing w:after="0"/>
              <w:rPr>
                <w:sz w:val="20"/>
                <w:szCs w:val="20"/>
                <w:color w:val="auto"/>
              </w:rPr>
            </w:pPr>
            <w:r>
              <w:rPr>
                <w:rFonts w:ascii="Arial" w:cs="Arial" w:eastAsia="Arial" w:hAnsi="Arial"/>
                <w:sz w:val="15"/>
                <w:szCs w:val="15"/>
                <w:color w:val="auto"/>
              </w:rPr>
              <w:t>—</w:t>
            </w:r>
          </w:p>
        </w:tc>
        <w:tc>
          <w:tcPr>
            <w:tcW w:w="1260" w:type="dxa"/>
            <w:vAlign w:val="bottom"/>
          </w:tcPr>
          <w:p>
            <w:pPr>
              <w:ind w:left="840"/>
              <w:spacing w:after="0"/>
              <w:rPr>
                <w:sz w:val="20"/>
                <w:szCs w:val="20"/>
                <w:color w:val="auto"/>
              </w:rPr>
            </w:pPr>
            <w:r>
              <w:rPr>
                <w:rFonts w:ascii="Arial" w:cs="Arial" w:eastAsia="Arial" w:hAnsi="Arial"/>
                <w:sz w:val="15"/>
                <w:szCs w:val="15"/>
                <w:color w:val="auto"/>
              </w:rPr>
              <w:t>—</w:t>
            </w:r>
          </w:p>
        </w:tc>
        <w:tc>
          <w:tcPr>
            <w:tcW w:w="1100" w:type="dxa"/>
            <w:vAlign w:val="bottom"/>
          </w:tcPr>
          <w:p>
            <w:pPr>
              <w:ind w:left="760"/>
              <w:spacing w:after="0"/>
              <w:rPr>
                <w:sz w:val="20"/>
                <w:szCs w:val="20"/>
                <w:color w:val="auto"/>
              </w:rPr>
            </w:pPr>
            <w:r>
              <w:rPr>
                <w:rFonts w:ascii="Arial" w:cs="Arial" w:eastAsia="Arial" w:hAnsi="Arial"/>
                <w:sz w:val="15"/>
                <w:szCs w:val="15"/>
                <w:color w:val="auto"/>
              </w:rPr>
              <w:t>—</w:t>
            </w: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Accrued Vacation Pay</w:t>
            </w:r>
          </w:p>
        </w:tc>
        <w:tc>
          <w:tcPr>
            <w:tcW w:w="1120" w:type="dxa"/>
            <w:vAlign w:val="bottom"/>
            <w:shd w:val="clear" w:color="auto" w:fill="DFE4EA"/>
          </w:tcPr>
          <w:p>
            <w:pPr>
              <w:ind w:left="860"/>
              <w:spacing w:after="0"/>
              <w:rPr>
                <w:sz w:val="20"/>
                <w:szCs w:val="20"/>
                <w:color w:val="auto"/>
              </w:rPr>
            </w:pPr>
            <w:r>
              <w:rPr>
                <w:rFonts w:ascii="Arial" w:cs="Arial" w:eastAsia="Arial" w:hAnsi="Arial"/>
                <w:sz w:val="15"/>
                <w:szCs w:val="15"/>
                <w:color w:val="auto"/>
              </w:rPr>
              <w:t>—</w:t>
            </w:r>
          </w:p>
        </w:tc>
        <w:tc>
          <w:tcPr>
            <w:tcW w:w="1240" w:type="dxa"/>
            <w:vAlign w:val="bottom"/>
            <w:shd w:val="clear" w:color="auto" w:fill="DFE4EA"/>
          </w:tcPr>
          <w:p>
            <w:pPr>
              <w:ind w:left="920"/>
              <w:spacing w:after="0"/>
              <w:rPr>
                <w:sz w:val="20"/>
                <w:szCs w:val="20"/>
                <w:color w:val="auto"/>
              </w:rPr>
            </w:pPr>
            <w:r>
              <w:rPr>
                <w:rFonts w:ascii="Arial" w:cs="Arial" w:eastAsia="Arial" w:hAnsi="Arial"/>
                <w:sz w:val="15"/>
                <w:szCs w:val="15"/>
                <w:color w:val="auto"/>
              </w:rPr>
              <w:t>—</w:t>
            </w:r>
          </w:p>
        </w:tc>
        <w:tc>
          <w:tcPr>
            <w:tcW w:w="1260" w:type="dxa"/>
            <w:vAlign w:val="bottom"/>
            <w:shd w:val="clear" w:color="auto" w:fill="DFE4EA"/>
          </w:tcPr>
          <w:p>
            <w:pPr>
              <w:ind w:left="8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ind w:left="7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DFE4EA"/>
          </w:tcPr>
          <w:p>
            <w:pPr>
              <w:ind w:left="8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5"/>
                <w:szCs w:val="15"/>
                <w:color w:val="auto"/>
              </w:rPr>
              <w:t>Medical Benefits</w:t>
            </w:r>
          </w:p>
        </w:tc>
        <w:tc>
          <w:tcPr>
            <w:tcW w:w="1120" w:type="dxa"/>
            <w:vAlign w:val="bottom"/>
          </w:tcPr>
          <w:p>
            <w:pPr>
              <w:ind w:left="860"/>
              <w:spacing w:after="0"/>
              <w:rPr>
                <w:sz w:val="20"/>
                <w:szCs w:val="20"/>
                <w:color w:val="auto"/>
              </w:rPr>
            </w:pPr>
            <w:r>
              <w:rPr>
                <w:rFonts w:ascii="Arial" w:cs="Arial" w:eastAsia="Arial" w:hAnsi="Arial"/>
                <w:sz w:val="15"/>
                <w:szCs w:val="15"/>
                <w:color w:val="auto"/>
              </w:rPr>
              <w:t>—</w:t>
            </w:r>
          </w:p>
        </w:tc>
        <w:tc>
          <w:tcPr>
            <w:tcW w:w="1240" w:type="dxa"/>
            <w:vAlign w:val="bottom"/>
          </w:tcPr>
          <w:p>
            <w:pPr>
              <w:ind w:left="920"/>
              <w:spacing w:after="0"/>
              <w:rPr>
                <w:sz w:val="20"/>
                <w:szCs w:val="20"/>
                <w:color w:val="auto"/>
              </w:rPr>
            </w:pPr>
            <w:r>
              <w:rPr>
                <w:rFonts w:ascii="Arial" w:cs="Arial" w:eastAsia="Arial" w:hAnsi="Arial"/>
                <w:sz w:val="15"/>
                <w:szCs w:val="15"/>
                <w:color w:val="auto"/>
              </w:rPr>
              <w:t>—</w:t>
            </w:r>
          </w:p>
        </w:tc>
        <w:tc>
          <w:tcPr>
            <w:tcW w:w="1260" w:type="dxa"/>
            <w:vAlign w:val="bottom"/>
          </w:tcPr>
          <w:p>
            <w:pPr>
              <w:ind w:left="840"/>
              <w:spacing w:after="0"/>
              <w:rPr>
                <w:sz w:val="20"/>
                <w:szCs w:val="20"/>
                <w:color w:val="auto"/>
              </w:rPr>
            </w:pPr>
            <w:r>
              <w:rPr>
                <w:rFonts w:ascii="Arial" w:cs="Arial" w:eastAsia="Arial" w:hAnsi="Arial"/>
                <w:sz w:val="15"/>
                <w:szCs w:val="15"/>
                <w:color w:val="auto"/>
              </w:rPr>
              <w:t>—</w:t>
            </w:r>
          </w:p>
        </w:tc>
        <w:tc>
          <w:tcPr>
            <w:tcW w:w="1100" w:type="dxa"/>
            <w:vAlign w:val="bottom"/>
          </w:tcPr>
          <w:p>
            <w:pPr>
              <w:ind w:left="760"/>
              <w:spacing w:after="0"/>
              <w:rPr>
                <w:sz w:val="20"/>
                <w:szCs w:val="20"/>
                <w:color w:val="auto"/>
              </w:rPr>
            </w:pPr>
            <w:r>
              <w:rPr>
                <w:rFonts w:ascii="Arial" w:cs="Arial" w:eastAsia="Arial" w:hAnsi="Arial"/>
                <w:sz w:val="15"/>
                <w:szCs w:val="15"/>
                <w:color w:val="auto"/>
              </w:rPr>
              <w:t>—</w:t>
            </w: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1860" w:type="dxa"/>
            <w:vAlign w:val="bottom"/>
            <w:shd w:val="clear" w:color="auto" w:fill="DFE4EA"/>
          </w:tcPr>
          <w:p>
            <w:pPr>
              <w:spacing w:after="0"/>
              <w:rPr>
                <w:sz w:val="20"/>
                <w:szCs w:val="20"/>
                <w:color w:val="auto"/>
              </w:rPr>
            </w:pPr>
            <w:r>
              <w:rPr>
                <w:rFonts w:ascii="Arial" w:cs="Arial" w:eastAsia="Arial" w:hAnsi="Arial"/>
                <w:sz w:val="15"/>
                <w:szCs w:val="15"/>
                <w:color w:val="auto"/>
              </w:rPr>
              <w:t>Spread Value of Vested</w:t>
            </w:r>
          </w:p>
        </w:tc>
        <w:tc>
          <w:tcPr>
            <w:tcW w:w="1120" w:type="dxa"/>
            <w:vAlign w:val="bottom"/>
            <w:shd w:val="clear" w:color="auto" w:fill="DFE4EA"/>
          </w:tcPr>
          <w:p>
            <w:pPr>
              <w:spacing w:after="0"/>
              <w:rPr>
                <w:sz w:val="16"/>
                <w:szCs w:val="16"/>
                <w:color w:val="auto"/>
              </w:rPr>
            </w:pPr>
          </w:p>
        </w:tc>
        <w:tc>
          <w:tcPr>
            <w:tcW w:w="1240" w:type="dxa"/>
            <w:vAlign w:val="bottom"/>
            <w:shd w:val="clear" w:color="auto" w:fill="DFE4EA"/>
          </w:tcPr>
          <w:p>
            <w:pPr>
              <w:spacing w:after="0"/>
              <w:rPr>
                <w:sz w:val="16"/>
                <w:szCs w:val="16"/>
                <w:color w:val="auto"/>
              </w:rPr>
            </w:pPr>
          </w:p>
        </w:tc>
        <w:tc>
          <w:tcPr>
            <w:tcW w:w="1260" w:type="dxa"/>
            <w:vAlign w:val="bottom"/>
            <w:shd w:val="clear" w:color="auto" w:fill="DFE4EA"/>
          </w:tcPr>
          <w:p>
            <w:pPr>
              <w:spacing w:after="0"/>
              <w:rPr>
                <w:sz w:val="16"/>
                <w:szCs w:val="16"/>
                <w:color w:val="auto"/>
              </w:rPr>
            </w:pPr>
          </w:p>
        </w:tc>
        <w:tc>
          <w:tcPr>
            <w:tcW w:w="1100" w:type="dxa"/>
            <w:vAlign w:val="bottom"/>
            <w:shd w:val="clear" w:color="auto" w:fill="DFE4EA"/>
          </w:tcPr>
          <w:p>
            <w:pPr>
              <w:spacing w:after="0"/>
              <w:rPr>
                <w:sz w:val="16"/>
                <w:szCs w:val="16"/>
                <w:color w:val="auto"/>
              </w:rPr>
            </w:pPr>
          </w:p>
        </w:tc>
        <w:tc>
          <w:tcPr>
            <w:tcW w:w="1040" w:type="dxa"/>
            <w:vAlign w:val="bottom"/>
            <w:shd w:val="clear" w:color="auto" w:fill="DFE4EA"/>
          </w:tcPr>
          <w:p>
            <w:pPr>
              <w:spacing w:after="0"/>
              <w:rPr>
                <w:sz w:val="16"/>
                <w:szCs w:val="16"/>
                <w:color w:val="auto"/>
              </w:rPr>
            </w:pPr>
          </w:p>
        </w:tc>
        <w:tc>
          <w:tcPr>
            <w:tcW w:w="1300" w:type="dxa"/>
            <w:vAlign w:val="bottom"/>
            <w:shd w:val="clear" w:color="auto" w:fill="DFE4EA"/>
          </w:tcPr>
          <w:p>
            <w:pPr>
              <w:spacing w:after="0"/>
              <w:rPr>
                <w:sz w:val="16"/>
                <w:szCs w:val="16"/>
                <w:color w:val="auto"/>
              </w:rPr>
            </w:pPr>
          </w:p>
        </w:tc>
        <w:tc>
          <w:tcPr>
            <w:tcW w:w="1100" w:type="dxa"/>
            <w:vAlign w:val="bottom"/>
            <w:shd w:val="clear" w:color="auto" w:fill="DFE4EA"/>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DFE4EA"/>
          </w:tcPr>
          <w:p>
            <w:pPr>
              <w:ind w:left="160"/>
              <w:spacing w:after="0"/>
              <w:rPr>
                <w:sz w:val="20"/>
                <w:szCs w:val="20"/>
                <w:color w:val="auto"/>
              </w:rPr>
            </w:pPr>
            <w:r>
              <w:rPr>
                <w:rFonts w:ascii="Arial" w:cs="Arial" w:eastAsia="Arial" w:hAnsi="Arial"/>
                <w:sz w:val="15"/>
                <w:szCs w:val="15"/>
                <w:color w:val="auto"/>
              </w:rPr>
              <w:t>Options</w:t>
            </w:r>
          </w:p>
        </w:tc>
        <w:tc>
          <w:tcPr>
            <w:tcW w:w="1120" w:type="dxa"/>
            <w:vAlign w:val="bottom"/>
            <w:shd w:val="clear" w:color="auto" w:fill="DFE4EA"/>
          </w:tcPr>
          <w:p>
            <w:pPr>
              <w:ind w:left="860"/>
              <w:spacing w:after="0"/>
              <w:rPr>
                <w:sz w:val="20"/>
                <w:szCs w:val="20"/>
                <w:color w:val="auto"/>
              </w:rPr>
            </w:pPr>
            <w:r>
              <w:rPr>
                <w:rFonts w:ascii="Arial" w:cs="Arial" w:eastAsia="Arial" w:hAnsi="Arial"/>
                <w:sz w:val="15"/>
                <w:szCs w:val="15"/>
                <w:color w:val="auto"/>
              </w:rPr>
              <w:t>—</w:t>
            </w:r>
          </w:p>
        </w:tc>
        <w:tc>
          <w:tcPr>
            <w:tcW w:w="1240" w:type="dxa"/>
            <w:vAlign w:val="bottom"/>
            <w:shd w:val="clear" w:color="auto" w:fill="DFE4EA"/>
          </w:tcPr>
          <w:p>
            <w:pPr>
              <w:ind w:left="920"/>
              <w:spacing w:after="0"/>
              <w:rPr>
                <w:sz w:val="20"/>
                <w:szCs w:val="20"/>
                <w:color w:val="auto"/>
              </w:rPr>
            </w:pPr>
            <w:r>
              <w:rPr>
                <w:rFonts w:ascii="Arial" w:cs="Arial" w:eastAsia="Arial" w:hAnsi="Arial"/>
                <w:sz w:val="15"/>
                <w:szCs w:val="15"/>
                <w:color w:val="auto"/>
              </w:rPr>
              <w:t>—</w:t>
            </w:r>
          </w:p>
        </w:tc>
        <w:tc>
          <w:tcPr>
            <w:tcW w:w="1260" w:type="dxa"/>
            <w:vAlign w:val="bottom"/>
            <w:shd w:val="clear" w:color="auto" w:fill="DFE4EA"/>
          </w:tcPr>
          <w:p>
            <w:pPr>
              <w:ind w:left="8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ind w:left="7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DFE4EA"/>
          </w:tcPr>
          <w:p>
            <w:pPr>
              <w:ind w:left="8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FE4EA"/>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20"/>
                <w:szCs w:val="20"/>
                <w:color w:val="auto"/>
              </w:rPr>
            </w:pPr>
            <w:r>
              <w:rPr>
                <w:rFonts w:ascii="Arial" w:cs="Arial" w:eastAsia="Arial" w:hAnsi="Arial"/>
                <w:sz w:val="15"/>
                <w:szCs w:val="15"/>
                <w:color w:val="auto"/>
              </w:rPr>
              <w:t>Accelerated Vesting of</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tcPr>
          <w:p>
            <w:pPr>
              <w:ind w:left="160"/>
              <w:spacing w:after="0"/>
              <w:rPr>
                <w:sz w:val="20"/>
                <w:szCs w:val="20"/>
                <w:color w:val="auto"/>
              </w:rPr>
            </w:pPr>
            <w:r>
              <w:rPr>
                <w:rFonts w:ascii="Arial" w:cs="Arial" w:eastAsia="Arial" w:hAnsi="Arial"/>
                <w:sz w:val="15"/>
                <w:szCs w:val="15"/>
                <w:color w:val="auto"/>
              </w:rPr>
              <w:t>Restricted Stock and</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60" w:type="dxa"/>
            <w:vAlign w:val="bottom"/>
          </w:tcPr>
          <w:p>
            <w:pPr>
              <w:ind w:left="160"/>
              <w:spacing w:after="0"/>
              <w:rPr>
                <w:sz w:val="20"/>
                <w:szCs w:val="20"/>
                <w:color w:val="auto"/>
              </w:rPr>
            </w:pPr>
            <w:r>
              <w:rPr>
                <w:rFonts w:ascii="Arial" w:cs="Arial" w:eastAsia="Arial" w:hAnsi="Arial"/>
                <w:sz w:val="15"/>
                <w:szCs w:val="15"/>
                <w:color w:val="auto"/>
              </w:rPr>
              <w:t>Performance Stock</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2,834,433</w:t>
            </w:r>
            <w:r>
              <w:rPr>
                <w:rFonts w:ascii="Arial" w:cs="Arial" w:eastAsia="Arial" w:hAnsi="Arial"/>
                <w:sz w:val="24"/>
                <w:szCs w:val="24"/>
                <w:color w:val="auto"/>
                <w:vertAlign w:val="superscript"/>
              </w:rPr>
              <w:t>(3)</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2,834,433</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212"/>
        </w:trPr>
        <w:tc>
          <w:tcPr>
            <w:tcW w:w="1860" w:type="dxa"/>
            <w:vAlign w:val="bottom"/>
          </w:tcPr>
          <w:p>
            <w:pPr>
              <w:ind w:left="160"/>
              <w:spacing w:after="0"/>
              <w:rPr>
                <w:sz w:val="20"/>
                <w:szCs w:val="20"/>
                <w:color w:val="auto"/>
              </w:rPr>
            </w:pPr>
            <w:r>
              <w:rPr>
                <w:rFonts w:ascii="Arial" w:cs="Arial" w:eastAsia="Arial" w:hAnsi="Arial"/>
                <w:sz w:val="15"/>
                <w:szCs w:val="15"/>
                <w:color w:val="auto"/>
              </w:rPr>
              <w:t>Units</w:t>
            </w:r>
          </w:p>
        </w:tc>
        <w:tc>
          <w:tcPr>
            <w:tcW w:w="1120" w:type="dxa"/>
            <w:vAlign w:val="bottom"/>
          </w:tcPr>
          <w:p>
            <w:pPr>
              <w:ind w:left="860"/>
              <w:spacing w:after="0"/>
              <w:rPr>
                <w:sz w:val="20"/>
                <w:szCs w:val="20"/>
                <w:color w:val="auto"/>
              </w:rPr>
            </w:pPr>
            <w:r>
              <w:rPr>
                <w:rFonts w:ascii="Arial" w:cs="Arial" w:eastAsia="Arial" w:hAnsi="Arial"/>
                <w:sz w:val="15"/>
                <w:szCs w:val="15"/>
                <w:color w:val="auto"/>
              </w:rPr>
              <w:t>—</w:t>
            </w:r>
          </w:p>
        </w:tc>
        <w:tc>
          <w:tcPr>
            <w:tcW w:w="1240" w:type="dxa"/>
            <w:vAlign w:val="bottom"/>
          </w:tcPr>
          <w:p>
            <w:pPr>
              <w:ind w:left="920"/>
              <w:spacing w:after="0"/>
              <w:rPr>
                <w:sz w:val="20"/>
                <w:szCs w:val="20"/>
                <w:color w:val="auto"/>
              </w:rPr>
            </w:pPr>
            <w:r>
              <w:rPr>
                <w:rFonts w:ascii="Arial" w:cs="Arial" w:eastAsia="Arial" w:hAnsi="Arial"/>
                <w:sz w:val="15"/>
                <w:szCs w:val="15"/>
                <w:color w:val="auto"/>
              </w:rPr>
              <w:t>—</w:t>
            </w:r>
          </w:p>
        </w:tc>
        <w:tc>
          <w:tcPr>
            <w:tcW w:w="1260" w:type="dxa"/>
            <w:vAlign w:val="bottom"/>
          </w:tcPr>
          <w:p>
            <w:pPr>
              <w:ind w:left="840"/>
              <w:spacing w:after="0"/>
              <w:rPr>
                <w:sz w:val="20"/>
                <w:szCs w:val="20"/>
                <w:color w:val="auto"/>
              </w:rPr>
            </w:pPr>
            <w:r>
              <w:rPr>
                <w:rFonts w:ascii="Arial" w:cs="Arial" w:eastAsia="Arial" w:hAnsi="Arial"/>
                <w:sz w:val="15"/>
                <w:szCs w:val="15"/>
                <w:color w:val="auto"/>
              </w:rPr>
              <w:t>—</w:t>
            </w:r>
          </w:p>
        </w:tc>
        <w:tc>
          <w:tcPr>
            <w:tcW w:w="1100" w:type="dxa"/>
            <w:vAlign w:val="bottom"/>
          </w:tcPr>
          <w:p>
            <w:pPr>
              <w:ind w:left="760"/>
              <w:spacing w:after="0"/>
              <w:rPr>
                <w:sz w:val="20"/>
                <w:szCs w:val="20"/>
                <w:color w:val="auto"/>
              </w:rPr>
            </w:pPr>
            <w:r>
              <w:rPr>
                <w:rFonts w:ascii="Arial" w:cs="Arial" w:eastAsia="Arial" w:hAnsi="Arial"/>
                <w:sz w:val="15"/>
                <w:szCs w:val="15"/>
                <w:color w:val="auto"/>
              </w:rPr>
              <w:t>—</w:t>
            </w: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3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shd w:val="clear" w:color="auto" w:fill="DFE4EA"/>
          </w:tcPr>
          <w:p>
            <w:pPr>
              <w:spacing w:after="0"/>
              <w:rPr>
                <w:sz w:val="20"/>
                <w:szCs w:val="20"/>
                <w:color w:val="auto"/>
              </w:rPr>
            </w:pPr>
            <w:r>
              <w:rPr>
                <w:rFonts w:ascii="Arial" w:cs="Arial" w:eastAsia="Arial" w:hAnsi="Arial"/>
                <w:sz w:val="15"/>
                <w:szCs w:val="15"/>
                <w:b w:val="1"/>
                <w:bCs w:val="1"/>
                <w:color w:val="auto"/>
              </w:rPr>
              <w:t>Total</w:t>
            </w:r>
          </w:p>
        </w:tc>
        <w:tc>
          <w:tcPr>
            <w:tcW w:w="1120" w:type="dxa"/>
            <w:vAlign w:val="bottom"/>
            <w:shd w:val="clear" w:color="auto" w:fill="DFE4EA"/>
          </w:tcPr>
          <w:p>
            <w:pPr>
              <w:ind w:left="860"/>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DFE4EA"/>
          </w:tcPr>
          <w:p>
            <w:pPr>
              <w:ind w:left="920"/>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DFE4EA"/>
          </w:tcPr>
          <w:p>
            <w:pPr>
              <w:ind w:left="840"/>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DFE4EA"/>
          </w:tcPr>
          <w:p>
            <w:pPr>
              <w:ind w:left="760"/>
              <w:spacing w:after="0"/>
              <w:rPr>
                <w:sz w:val="20"/>
                <w:szCs w:val="20"/>
                <w:color w:val="auto"/>
              </w:rPr>
            </w:pPr>
            <w:r>
              <w:rPr>
                <w:rFonts w:ascii="Arial" w:cs="Arial" w:eastAsia="Arial" w:hAnsi="Arial"/>
                <w:sz w:val="15"/>
                <w:szCs w:val="15"/>
                <w:b w:val="1"/>
                <w:bCs w:val="1"/>
                <w:color w:val="auto"/>
              </w:rPr>
              <w:t>—</w:t>
            </w:r>
          </w:p>
        </w:tc>
        <w:tc>
          <w:tcPr>
            <w:tcW w:w="1040" w:type="dxa"/>
            <w:vAlign w:val="bottom"/>
            <w:shd w:val="clear" w:color="auto" w:fill="DFE4EA"/>
          </w:tcPr>
          <w:p>
            <w:pPr>
              <w:ind w:left="820"/>
              <w:spacing w:after="0"/>
              <w:rPr>
                <w:sz w:val="20"/>
                <w:szCs w:val="20"/>
                <w:color w:val="auto"/>
              </w:rPr>
            </w:pPr>
            <w:r>
              <w:rPr>
                <w:rFonts w:ascii="Arial" w:cs="Arial" w:eastAsia="Arial" w:hAnsi="Arial"/>
                <w:sz w:val="15"/>
                <w:szCs w:val="15"/>
                <w:b w:val="1"/>
                <w:bCs w:val="1"/>
                <w:color w:val="auto"/>
              </w:rPr>
              <w:t>—</w:t>
            </w:r>
          </w:p>
        </w:tc>
        <w:tc>
          <w:tcPr>
            <w:tcW w:w="1300" w:type="dxa"/>
            <w:vAlign w:val="bottom"/>
            <w:shd w:val="clear" w:color="auto" w:fill="DFE4EA"/>
          </w:tcPr>
          <w:p>
            <w:pPr>
              <w:jc w:val="right"/>
              <w:ind w:right="123"/>
              <w:spacing w:after="0"/>
              <w:rPr>
                <w:sz w:val="20"/>
                <w:szCs w:val="20"/>
                <w:color w:val="auto"/>
              </w:rPr>
            </w:pPr>
            <w:r>
              <w:rPr>
                <w:rFonts w:ascii="Arial" w:cs="Arial" w:eastAsia="Arial" w:hAnsi="Arial"/>
                <w:sz w:val="15"/>
                <w:szCs w:val="15"/>
                <w:b w:val="1"/>
                <w:bCs w:val="1"/>
                <w:color w:val="auto"/>
              </w:rPr>
              <w:t>2,834,433</w:t>
            </w:r>
          </w:p>
        </w:tc>
        <w:tc>
          <w:tcPr>
            <w:tcW w:w="1100" w:type="dxa"/>
            <w:vAlign w:val="bottom"/>
            <w:shd w:val="clear" w:color="auto" w:fill="DFE4EA"/>
          </w:tcPr>
          <w:p>
            <w:pPr>
              <w:jc w:val="right"/>
              <w:ind w:right="63"/>
              <w:spacing w:after="0"/>
              <w:rPr>
                <w:sz w:val="20"/>
                <w:szCs w:val="20"/>
                <w:color w:val="auto"/>
              </w:rPr>
            </w:pPr>
            <w:r>
              <w:rPr>
                <w:rFonts w:ascii="Arial" w:cs="Arial" w:eastAsia="Arial" w:hAnsi="Arial"/>
                <w:sz w:val="15"/>
                <w:szCs w:val="15"/>
                <w:b w:val="1"/>
                <w:bCs w:val="1"/>
                <w:color w:val="auto"/>
              </w:rPr>
              <w:t>2,834,433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20" w:hanging="219"/>
        <w:spacing w:after="0"/>
        <w:tabs>
          <w:tab w:leader="none" w:pos="22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This table assumes that the change of control event occurred on December 31, 2025.</w:t>
      </w:r>
    </w:p>
    <w:p>
      <w:pPr>
        <w:spacing w:after="0" w:line="117"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While Mr. Stanton does not have a Change of Control Agreement with the Company, under the 2020 ECIP, he is entitled to accelerated vesting of certain unvested equity awards upon a change of control.</w:t>
      </w:r>
    </w:p>
    <w:p>
      <w:pPr>
        <w:spacing w:after="0" w:line="118"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 2020 ECIP provides that all unvested shares of restricted stock and performance stock units become fully vested upon a change of control. The accelerated restricted stock and performance stock units are valued at the closing price of our common stock on the NYSE on December 31, 2025, of $45.61, and the 2025 performance stock units are assumed to have been earned at target level.</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Risk Assessment</w:t>
      </w:r>
    </w:p>
    <w:p>
      <w:pPr>
        <w:spacing w:after="0" w:line="122"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The Compensation Committee has determined that our compensation policies and practices for our employees, including our Named Executive Officers, are not reasonably likely to have a material adverse effect on us because the potential for unacceptable risks that may be encouraged, directly or indirectly, through a compensation method is mitigated through policy or practice, the Company’s training programs, the Company’s internal controls, or external factors such as risk of civil or criminal prosecution, which are made known to employees through training.</w:t>
      </w:r>
    </w:p>
    <w:p>
      <w:pPr>
        <w:spacing w:after="0" w:line="111"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Our Compensation Committee routinely assesses our compensation policies and practices and takes this consideration into account as part of its review.</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b w:val="1"/>
          <w:bCs w:val="1"/>
          <w:i w:val="1"/>
          <w:iCs w:val="1"/>
          <w:color w:val="auto"/>
        </w:rPr>
        <w:t>Securities Authorized for Issuance Under Equity Compensation Plans</w:t>
      </w:r>
    </w:p>
    <w:p>
      <w:pPr>
        <w:spacing w:after="0" w:line="110" w:lineRule="exact"/>
        <w:rPr>
          <w:sz w:val="20"/>
          <w:szCs w:val="20"/>
          <w:color w:val="auto"/>
        </w:rPr>
      </w:pPr>
    </w:p>
    <w:p>
      <w:pPr>
        <w:ind w:firstLine="334"/>
        <w:spacing w:after="0" w:line="285" w:lineRule="auto"/>
        <w:rPr>
          <w:sz w:val="20"/>
          <w:szCs w:val="20"/>
          <w:color w:val="auto"/>
        </w:rPr>
      </w:pPr>
      <w:r>
        <w:rPr>
          <w:rFonts w:ascii="Arial" w:cs="Arial" w:eastAsia="Arial" w:hAnsi="Arial"/>
          <w:sz w:val="15"/>
          <w:szCs w:val="15"/>
          <w:color w:val="auto"/>
        </w:rPr>
        <w:t>The following table provides information as of December 31, 2025, with respect to shares of Artivion common stock that may be issued under existing equity compensation plans.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 Authorized for Issuance Under All Equity Compensation Plans</w:t>
      </w:r>
      <w:r>
        <w:rPr>
          <w:rFonts w:ascii="Arial" w:cs="Arial" w:eastAsia="Arial" w:hAnsi="Arial"/>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-35560</wp:posOffset>
            </wp:positionV>
            <wp:extent cx="565658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6580" cy="762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58"/>
        </w:trPr>
        <w:tc>
          <w:tcPr>
            <w:tcW w:w="27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80" w:type="dxa"/>
            <w:vAlign w:val="bottom"/>
          </w:tcPr>
          <w:p>
            <w:pPr>
              <w:jc w:val="center"/>
              <w:spacing w:after="0" w:line="158" w:lineRule="exact"/>
              <w:rPr>
                <w:sz w:val="20"/>
                <w:szCs w:val="20"/>
                <w:color w:val="auto"/>
              </w:rPr>
            </w:pPr>
            <w:r>
              <w:rPr>
                <w:rFonts w:ascii="Arial" w:cs="Arial" w:eastAsia="Arial" w:hAnsi="Arial"/>
                <w:sz w:val="15"/>
                <w:szCs w:val="15"/>
                <w:b w:val="1"/>
                <w:bCs w:val="1"/>
                <w:color w:val="auto"/>
              </w:rPr>
              <w:t>Number of Securities</w:t>
            </w:r>
          </w:p>
        </w:tc>
      </w:tr>
      <w:tr>
        <w:trPr>
          <w:trHeight w:val="174"/>
        </w:trPr>
        <w:tc>
          <w:tcPr>
            <w:tcW w:w="2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5"/>
                <w:szCs w:val="15"/>
                <w:b w:val="1"/>
                <w:bCs w:val="1"/>
                <w:color w:val="auto"/>
              </w:rPr>
              <w:t>Remaining Available</w:t>
            </w:r>
          </w:p>
        </w:tc>
      </w:tr>
      <w:tr>
        <w:trPr>
          <w:trHeight w:val="174"/>
        </w:trPr>
        <w:tc>
          <w:tcPr>
            <w:tcW w:w="27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5"/>
                <w:szCs w:val="15"/>
                <w:b w:val="1"/>
                <w:bCs w:val="1"/>
                <w:color w:val="auto"/>
              </w:rPr>
              <w:t>Number of Securities</w:t>
            </w:r>
          </w:p>
        </w:tc>
        <w:tc>
          <w:tcPr>
            <w:tcW w:w="20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5"/>
                <w:szCs w:val="15"/>
                <w:b w:val="1"/>
                <w:bCs w:val="1"/>
                <w:color w:val="auto"/>
              </w:rPr>
              <w:t>for Future Issuance</w:t>
            </w:r>
          </w:p>
        </w:tc>
      </w:tr>
      <w:tr>
        <w:trPr>
          <w:trHeight w:val="174"/>
        </w:trPr>
        <w:tc>
          <w:tcPr>
            <w:tcW w:w="2720" w:type="dxa"/>
            <w:vAlign w:val="bottom"/>
          </w:tcPr>
          <w:p>
            <w:pPr>
              <w:spacing w:after="0"/>
              <w:rPr>
                <w:sz w:val="15"/>
                <w:szCs w:val="15"/>
                <w:color w:val="auto"/>
              </w:rPr>
            </w:pPr>
          </w:p>
        </w:tc>
        <w:tc>
          <w:tcPr>
            <w:tcW w:w="2020" w:type="dxa"/>
            <w:vAlign w:val="bottom"/>
          </w:tcPr>
          <w:p>
            <w:pPr>
              <w:jc w:val="center"/>
              <w:ind w:right="6"/>
              <w:spacing w:after="0"/>
              <w:rPr>
                <w:sz w:val="20"/>
                <w:szCs w:val="20"/>
                <w:color w:val="auto"/>
              </w:rPr>
            </w:pPr>
            <w:r>
              <w:rPr>
                <w:rFonts w:ascii="Arial" w:cs="Arial" w:eastAsia="Arial" w:hAnsi="Arial"/>
                <w:sz w:val="15"/>
                <w:szCs w:val="15"/>
                <w:b w:val="1"/>
                <w:bCs w:val="1"/>
                <w:color w:val="auto"/>
              </w:rPr>
              <w:t>to be Issued Upon</w:t>
            </w:r>
          </w:p>
        </w:tc>
        <w:tc>
          <w:tcPr>
            <w:tcW w:w="2000" w:type="dxa"/>
            <w:vAlign w:val="bottom"/>
          </w:tcPr>
          <w:p>
            <w:pPr>
              <w:jc w:val="center"/>
              <w:spacing w:after="0"/>
              <w:rPr>
                <w:sz w:val="20"/>
                <w:szCs w:val="20"/>
                <w:color w:val="auto"/>
              </w:rPr>
            </w:pPr>
            <w:r>
              <w:rPr>
                <w:rFonts w:ascii="Arial" w:cs="Arial" w:eastAsia="Arial" w:hAnsi="Arial"/>
                <w:sz w:val="15"/>
                <w:szCs w:val="15"/>
                <w:b w:val="1"/>
                <w:bCs w:val="1"/>
                <w:color w:val="auto"/>
              </w:rPr>
              <w:t>Weighted Average</w:t>
            </w:r>
          </w:p>
        </w:tc>
        <w:tc>
          <w:tcPr>
            <w:tcW w:w="2180" w:type="dxa"/>
            <w:vAlign w:val="bottom"/>
          </w:tcPr>
          <w:p>
            <w:pPr>
              <w:jc w:val="center"/>
              <w:spacing w:after="0"/>
              <w:rPr>
                <w:sz w:val="20"/>
                <w:szCs w:val="20"/>
                <w:color w:val="auto"/>
              </w:rPr>
            </w:pPr>
            <w:r>
              <w:rPr>
                <w:rFonts w:ascii="Arial" w:cs="Arial" w:eastAsia="Arial" w:hAnsi="Arial"/>
                <w:sz w:val="15"/>
                <w:szCs w:val="15"/>
                <w:b w:val="1"/>
                <w:bCs w:val="1"/>
                <w:color w:val="auto"/>
              </w:rPr>
              <w:t>Under Equity</w:t>
            </w:r>
          </w:p>
        </w:tc>
      </w:tr>
      <w:tr>
        <w:trPr>
          <w:trHeight w:val="174"/>
        </w:trPr>
        <w:tc>
          <w:tcPr>
            <w:tcW w:w="2720" w:type="dxa"/>
            <w:vAlign w:val="bottom"/>
          </w:tcPr>
          <w:p>
            <w:pPr>
              <w:spacing w:after="0"/>
              <w:rPr>
                <w:sz w:val="15"/>
                <w:szCs w:val="15"/>
                <w:color w:val="auto"/>
              </w:rPr>
            </w:pPr>
          </w:p>
        </w:tc>
        <w:tc>
          <w:tcPr>
            <w:tcW w:w="2020" w:type="dxa"/>
            <w:vAlign w:val="bottom"/>
          </w:tcPr>
          <w:p>
            <w:pPr>
              <w:jc w:val="center"/>
              <w:ind w:right="6"/>
              <w:spacing w:after="0"/>
              <w:rPr>
                <w:sz w:val="20"/>
                <w:szCs w:val="20"/>
                <w:color w:val="auto"/>
              </w:rPr>
            </w:pPr>
            <w:r>
              <w:rPr>
                <w:rFonts w:ascii="Arial" w:cs="Arial" w:eastAsia="Arial" w:hAnsi="Arial"/>
                <w:sz w:val="15"/>
                <w:szCs w:val="15"/>
                <w:b w:val="1"/>
                <w:bCs w:val="1"/>
                <w:color w:val="auto"/>
              </w:rPr>
              <w:t>Exercise of</w:t>
            </w:r>
          </w:p>
        </w:tc>
        <w:tc>
          <w:tcPr>
            <w:tcW w:w="2000" w:type="dxa"/>
            <w:vAlign w:val="bottom"/>
          </w:tcPr>
          <w:p>
            <w:pPr>
              <w:jc w:val="center"/>
              <w:spacing w:after="0"/>
              <w:rPr>
                <w:sz w:val="20"/>
                <w:szCs w:val="20"/>
                <w:color w:val="auto"/>
              </w:rPr>
            </w:pPr>
            <w:r>
              <w:rPr>
                <w:rFonts w:ascii="Arial" w:cs="Arial" w:eastAsia="Arial" w:hAnsi="Arial"/>
                <w:sz w:val="15"/>
                <w:szCs w:val="15"/>
                <w:b w:val="1"/>
                <w:bCs w:val="1"/>
                <w:color w:val="auto"/>
              </w:rPr>
              <w:t>Exercise Price of</w:t>
            </w:r>
          </w:p>
        </w:tc>
        <w:tc>
          <w:tcPr>
            <w:tcW w:w="2180" w:type="dxa"/>
            <w:vAlign w:val="bottom"/>
          </w:tcPr>
          <w:p>
            <w:pPr>
              <w:jc w:val="center"/>
              <w:spacing w:after="0"/>
              <w:rPr>
                <w:sz w:val="20"/>
                <w:szCs w:val="20"/>
                <w:color w:val="auto"/>
              </w:rPr>
            </w:pPr>
            <w:r>
              <w:rPr>
                <w:rFonts w:ascii="Arial" w:cs="Arial" w:eastAsia="Arial" w:hAnsi="Arial"/>
                <w:sz w:val="15"/>
                <w:szCs w:val="15"/>
                <w:b w:val="1"/>
                <w:bCs w:val="1"/>
                <w:color w:val="auto"/>
              </w:rPr>
              <w:t>Compensation Plans</w:t>
            </w:r>
          </w:p>
        </w:tc>
      </w:tr>
      <w:tr>
        <w:trPr>
          <w:trHeight w:val="171"/>
        </w:trPr>
        <w:tc>
          <w:tcPr>
            <w:tcW w:w="2720" w:type="dxa"/>
            <w:vAlign w:val="bottom"/>
          </w:tcPr>
          <w:p>
            <w:pPr>
              <w:spacing w:after="0"/>
              <w:rPr>
                <w:sz w:val="14"/>
                <w:szCs w:val="14"/>
                <w:color w:val="auto"/>
              </w:rPr>
            </w:pPr>
          </w:p>
        </w:tc>
        <w:tc>
          <w:tcPr>
            <w:tcW w:w="2020" w:type="dxa"/>
            <w:vAlign w:val="bottom"/>
          </w:tcPr>
          <w:p>
            <w:pPr>
              <w:jc w:val="center"/>
              <w:ind w:right="6"/>
              <w:spacing w:after="0" w:line="172" w:lineRule="exact"/>
              <w:rPr>
                <w:sz w:val="20"/>
                <w:szCs w:val="20"/>
                <w:color w:val="auto"/>
              </w:rPr>
            </w:pPr>
            <w:r>
              <w:rPr>
                <w:rFonts w:ascii="Arial" w:cs="Arial" w:eastAsia="Arial" w:hAnsi="Arial"/>
                <w:sz w:val="15"/>
                <w:szCs w:val="15"/>
                <w:b w:val="1"/>
                <w:bCs w:val="1"/>
                <w:color w:val="auto"/>
              </w:rPr>
              <w:t>Outstanding Options,</w:t>
            </w:r>
          </w:p>
        </w:tc>
        <w:tc>
          <w:tcPr>
            <w:tcW w:w="2000" w:type="dxa"/>
            <w:vAlign w:val="bottom"/>
          </w:tcPr>
          <w:p>
            <w:pPr>
              <w:jc w:val="center"/>
              <w:spacing w:after="0" w:line="172" w:lineRule="exact"/>
              <w:rPr>
                <w:sz w:val="20"/>
                <w:szCs w:val="20"/>
                <w:color w:val="auto"/>
              </w:rPr>
            </w:pPr>
            <w:r>
              <w:rPr>
                <w:rFonts w:ascii="Arial" w:cs="Arial" w:eastAsia="Arial" w:hAnsi="Arial"/>
                <w:sz w:val="15"/>
                <w:szCs w:val="15"/>
                <w:b w:val="1"/>
                <w:bCs w:val="1"/>
                <w:color w:val="auto"/>
              </w:rPr>
              <w:t>Outstanding Options,</w:t>
            </w:r>
          </w:p>
        </w:tc>
        <w:tc>
          <w:tcPr>
            <w:tcW w:w="2180" w:type="dxa"/>
            <w:vAlign w:val="bottom"/>
          </w:tcPr>
          <w:p>
            <w:pPr>
              <w:jc w:val="center"/>
              <w:spacing w:after="0" w:line="172" w:lineRule="exact"/>
              <w:rPr>
                <w:sz w:val="20"/>
                <w:szCs w:val="20"/>
                <w:color w:val="auto"/>
              </w:rPr>
            </w:pPr>
            <w:r>
              <w:rPr>
                <w:rFonts w:ascii="Arial" w:cs="Arial" w:eastAsia="Arial" w:hAnsi="Arial"/>
                <w:sz w:val="15"/>
                <w:szCs w:val="15"/>
                <w:b w:val="1"/>
                <w:bCs w:val="1"/>
                <w:color w:val="auto"/>
              </w:rPr>
              <w:t>(Excluding Securities</w:t>
            </w:r>
          </w:p>
        </w:tc>
      </w:tr>
      <w:tr>
        <w:trPr>
          <w:trHeight w:val="217"/>
        </w:trPr>
        <w:tc>
          <w:tcPr>
            <w:tcW w:w="2720" w:type="dxa"/>
            <w:vAlign w:val="bottom"/>
            <w:tcBorders>
              <w:bottom w:val="single" w:sz="8" w:color="auto"/>
            </w:tcBorders>
          </w:tcPr>
          <w:p>
            <w:pPr>
              <w:ind w:left="840"/>
              <w:spacing w:after="0"/>
              <w:rPr>
                <w:sz w:val="20"/>
                <w:szCs w:val="20"/>
                <w:color w:val="auto"/>
              </w:rPr>
            </w:pPr>
            <w:r>
              <w:rPr>
                <w:rFonts w:ascii="Arial" w:cs="Arial" w:eastAsia="Arial" w:hAnsi="Arial"/>
                <w:sz w:val="15"/>
                <w:szCs w:val="15"/>
                <w:b w:val="1"/>
                <w:bCs w:val="1"/>
                <w:color w:val="auto"/>
              </w:rPr>
              <w:t>Plan category</w:t>
            </w:r>
          </w:p>
        </w:tc>
        <w:tc>
          <w:tcPr>
            <w:tcW w:w="202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15"/>
                <w:szCs w:val="15"/>
                <w:b w:val="1"/>
                <w:bCs w:val="1"/>
                <w:color w:val="auto"/>
              </w:rPr>
              <w:t>PSUs, and RSUs</w:t>
            </w:r>
            <w:r>
              <w:rPr>
                <w:rFonts w:ascii="Arial" w:cs="Arial" w:eastAsia="Arial" w:hAnsi="Arial"/>
                <w:sz w:val="24"/>
                <w:szCs w:val="24"/>
                <w:b w:val="1"/>
                <w:bCs w:val="1"/>
                <w:color w:val="auto"/>
                <w:vertAlign w:val="superscript"/>
              </w:rPr>
              <w:t>(2)</w:t>
            </w:r>
          </w:p>
        </w:tc>
        <w:tc>
          <w:tcPr>
            <w:tcW w:w="2000" w:type="dxa"/>
            <w:vAlign w:val="bottom"/>
            <w:tcBorders>
              <w:bottom w:val="single" w:sz="8" w:color="auto"/>
            </w:tcBorders>
          </w:tcPr>
          <w:p>
            <w:pPr>
              <w:jc w:val="center"/>
              <w:ind w:left="27"/>
              <w:spacing w:after="0" w:line="217" w:lineRule="exact"/>
              <w:rPr>
                <w:sz w:val="20"/>
                <w:szCs w:val="20"/>
                <w:color w:val="auto"/>
              </w:rPr>
            </w:pPr>
            <w:r>
              <w:rPr>
                <w:rFonts w:ascii="Arial" w:cs="Arial" w:eastAsia="Arial" w:hAnsi="Arial"/>
                <w:sz w:val="15"/>
                <w:szCs w:val="15"/>
                <w:b w:val="1"/>
                <w:bCs w:val="1"/>
                <w:color w:val="auto"/>
              </w:rPr>
              <w:t>PSUs, and RSUs</w:t>
            </w:r>
            <w:r>
              <w:rPr>
                <w:rFonts w:ascii="Arial" w:cs="Arial" w:eastAsia="Arial" w:hAnsi="Arial"/>
                <w:sz w:val="24"/>
                <w:szCs w:val="24"/>
                <w:b w:val="1"/>
                <w:bCs w:val="1"/>
                <w:color w:val="auto"/>
                <w:vertAlign w:val="superscript"/>
              </w:rPr>
              <w:t>(3)</w:t>
            </w:r>
          </w:p>
        </w:tc>
        <w:tc>
          <w:tcPr>
            <w:tcW w:w="2180" w:type="dxa"/>
            <w:vAlign w:val="bottom"/>
            <w:tcBorders>
              <w:bottom w:val="single" w:sz="8" w:color="auto"/>
            </w:tcBorders>
          </w:tcPr>
          <w:p>
            <w:pPr>
              <w:jc w:val="center"/>
              <w:ind w:left="6"/>
              <w:spacing w:after="0" w:line="217" w:lineRule="exact"/>
              <w:rPr>
                <w:sz w:val="20"/>
                <w:szCs w:val="20"/>
                <w:color w:val="auto"/>
              </w:rPr>
            </w:pPr>
            <w:r>
              <w:rPr>
                <w:rFonts w:ascii="Arial" w:cs="Arial" w:eastAsia="Arial" w:hAnsi="Arial"/>
                <w:sz w:val="15"/>
                <w:szCs w:val="15"/>
                <w:b w:val="1"/>
                <w:bCs w:val="1"/>
                <w:color w:val="auto"/>
              </w:rPr>
              <w:t>Reflected in Column (a))</w:t>
            </w:r>
            <w:r>
              <w:rPr>
                <w:rFonts w:ascii="Arial" w:cs="Arial" w:eastAsia="Arial" w:hAnsi="Arial"/>
                <w:sz w:val="24"/>
                <w:szCs w:val="24"/>
                <w:b w:val="1"/>
                <w:bCs w:val="1"/>
                <w:color w:val="auto"/>
                <w:vertAlign w:val="superscript"/>
              </w:rPr>
              <w:t>(4)</w:t>
            </w:r>
          </w:p>
        </w:tc>
      </w:tr>
      <w:tr>
        <w:trPr>
          <w:trHeight w:val="142"/>
        </w:trPr>
        <w:tc>
          <w:tcPr>
            <w:tcW w:w="27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9"/>
                <w:szCs w:val="9"/>
                <w:b w:val="1"/>
                <w:bCs w:val="1"/>
                <w:color w:val="auto"/>
              </w:rPr>
              <w:t>(a)</w:t>
            </w:r>
          </w:p>
        </w:tc>
        <w:tc>
          <w:tcPr>
            <w:tcW w:w="2000" w:type="dxa"/>
            <w:vAlign w:val="bottom"/>
          </w:tcPr>
          <w:p>
            <w:pPr>
              <w:jc w:val="center"/>
              <w:ind w:left="47"/>
              <w:spacing w:after="0"/>
              <w:rPr>
                <w:sz w:val="20"/>
                <w:szCs w:val="20"/>
                <w:color w:val="auto"/>
              </w:rPr>
            </w:pPr>
            <w:r>
              <w:rPr>
                <w:rFonts w:ascii="Arial" w:cs="Arial" w:eastAsia="Arial" w:hAnsi="Arial"/>
                <w:sz w:val="9"/>
                <w:szCs w:val="9"/>
                <w:b w:val="1"/>
                <w:bCs w:val="1"/>
                <w:color w:val="auto"/>
              </w:rPr>
              <w:t>(b)</w:t>
            </w:r>
          </w:p>
        </w:tc>
        <w:tc>
          <w:tcPr>
            <w:tcW w:w="2180" w:type="dxa"/>
            <w:vAlign w:val="bottom"/>
          </w:tcPr>
          <w:p>
            <w:pPr>
              <w:jc w:val="center"/>
              <w:ind w:left="6"/>
              <w:spacing w:after="0"/>
              <w:rPr>
                <w:sz w:val="20"/>
                <w:szCs w:val="20"/>
                <w:color w:val="auto"/>
              </w:rPr>
            </w:pPr>
            <w:r>
              <w:rPr>
                <w:rFonts w:ascii="Arial" w:cs="Arial" w:eastAsia="Arial" w:hAnsi="Arial"/>
                <w:sz w:val="9"/>
                <w:szCs w:val="9"/>
                <w:b w:val="1"/>
                <w:bCs w:val="1"/>
                <w:color w:val="auto"/>
                <w:w w:val="90"/>
              </w:rPr>
              <w:t>(c)</w:t>
            </w:r>
          </w:p>
        </w:tc>
      </w:tr>
      <w:tr>
        <w:trPr>
          <w:trHeight w:val="36"/>
        </w:trPr>
        <w:tc>
          <w:tcPr>
            <w:tcW w:w="2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182"/>
        </w:trPr>
        <w:tc>
          <w:tcPr>
            <w:tcW w:w="2720" w:type="dxa"/>
            <w:vAlign w:val="bottom"/>
            <w:shd w:val="clear" w:color="auto" w:fill="DFE4EA"/>
          </w:tcPr>
          <w:p>
            <w:pPr>
              <w:spacing w:after="0"/>
              <w:rPr>
                <w:sz w:val="20"/>
                <w:szCs w:val="20"/>
                <w:color w:val="auto"/>
              </w:rPr>
            </w:pPr>
            <w:r>
              <w:rPr>
                <w:rFonts w:ascii="Arial" w:cs="Arial" w:eastAsia="Arial" w:hAnsi="Arial"/>
                <w:sz w:val="15"/>
                <w:szCs w:val="15"/>
                <w:color w:val="auto"/>
              </w:rPr>
              <w:t>Equity compensation plans approved</w:t>
            </w:r>
          </w:p>
        </w:tc>
        <w:tc>
          <w:tcPr>
            <w:tcW w:w="2020" w:type="dxa"/>
            <w:vAlign w:val="bottom"/>
            <w:shd w:val="clear" w:color="auto" w:fill="DFE4EA"/>
          </w:tcPr>
          <w:p>
            <w:pPr>
              <w:spacing w:after="0"/>
              <w:rPr>
                <w:sz w:val="15"/>
                <w:szCs w:val="15"/>
                <w:color w:val="auto"/>
              </w:rPr>
            </w:pPr>
          </w:p>
        </w:tc>
        <w:tc>
          <w:tcPr>
            <w:tcW w:w="2000" w:type="dxa"/>
            <w:vAlign w:val="bottom"/>
            <w:shd w:val="clear" w:color="auto" w:fill="DFE4EA"/>
          </w:tcPr>
          <w:p>
            <w:pPr>
              <w:spacing w:after="0"/>
              <w:rPr>
                <w:sz w:val="15"/>
                <w:szCs w:val="15"/>
                <w:color w:val="auto"/>
              </w:rPr>
            </w:pPr>
          </w:p>
        </w:tc>
        <w:tc>
          <w:tcPr>
            <w:tcW w:w="2180" w:type="dxa"/>
            <w:vAlign w:val="bottom"/>
            <w:shd w:val="clear" w:color="auto" w:fill="DFE4EA"/>
          </w:tcPr>
          <w:p>
            <w:pPr>
              <w:spacing w:after="0"/>
              <w:rPr>
                <w:sz w:val="15"/>
                <w:szCs w:val="15"/>
                <w:color w:val="auto"/>
              </w:rPr>
            </w:pPr>
          </w:p>
        </w:tc>
      </w:tr>
      <w:tr>
        <w:trPr>
          <w:trHeight w:val="212"/>
        </w:trPr>
        <w:tc>
          <w:tcPr>
            <w:tcW w:w="2720" w:type="dxa"/>
            <w:vAlign w:val="bottom"/>
            <w:shd w:val="clear" w:color="auto" w:fill="DFE4EA"/>
          </w:tcPr>
          <w:p>
            <w:pPr>
              <w:ind w:left="160"/>
              <w:spacing w:after="0"/>
              <w:rPr>
                <w:sz w:val="20"/>
                <w:szCs w:val="20"/>
                <w:color w:val="auto"/>
              </w:rPr>
            </w:pPr>
            <w:r>
              <w:rPr>
                <w:rFonts w:ascii="Arial" w:cs="Arial" w:eastAsia="Arial" w:hAnsi="Arial"/>
                <w:sz w:val="15"/>
                <w:szCs w:val="15"/>
                <w:color w:val="auto"/>
              </w:rPr>
              <w:t>by stockholders</w:t>
            </w:r>
          </w:p>
        </w:tc>
        <w:tc>
          <w:tcPr>
            <w:tcW w:w="2020" w:type="dxa"/>
            <w:vAlign w:val="bottom"/>
            <w:shd w:val="clear" w:color="auto" w:fill="DFE4EA"/>
          </w:tcPr>
          <w:p>
            <w:pPr>
              <w:jc w:val="right"/>
              <w:ind w:right="426"/>
              <w:spacing w:after="0"/>
              <w:rPr>
                <w:sz w:val="20"/>
                <w:szCs w:val="20"/>
                <w:color w:val="auto"/>
              </w:rPr>
            </w:pPr>
            <w:r>
              <w:rPr>
                <w:rFonts w:ascii="Arial" w:cs="Arial" w:eastAsia="Arial" w:hAnsi="Arial"/>
                <w:sz w:val="15"/>
                <w:szCs w:val="15"/>
                <w:color w:val="auto"/>
              </w:rPr>
              <w:t>2,878,380</w:t>
            </w:r>
          </w:p>
        </w:tc>
        <w:tc>
          <w:tcPr>
            <w:tcW w:w="2000" w:type="dxa"/>
            <w:vAlign w:val="bottom"/>
            <w:shd w:val="clear" w:color="auto" w:fill="DFE4EA"/>
          </w:tcPr>
          <w:p>
            <w:pPr>
              <w:jc w:val="right"/>
              <w:ind w:right="447"/>
              <w:spacing w:after="0"/>
              <w:rPr>
                <w:sz w:val="20"/>
                <w:szCs w:val="20"/>
                <w:color w:val="auto"/>
              </w:rPr>
            </w:pPr>
            <w:r>
              <w:rPr>
                <w:rFonts w:ascii="Arial" w:cs="Arial" w:eastAsia="Arial" w:hAnsi="Arial"/>
                <w:sz w:val="15"/>
                <w:szCs w:val="15"/>
                <w:color w:val="auto"/>
              </w:rPr>
              <w:t>$16.76</w:t>
            </w:r>
          </w:p>
        </w:tc>
        <w:tc>
          <w:tcPr>
            <w:tcW w:w="2180" w:type="dxa"/>
            <w:vAlign w:val="bottom"/>
            <w:shd w:val="clear" w:color="auto" w:fill="DFE4EA"/>
          </w:tcPr>
          <w:p>
            <w:pPr>
              <w:jc w:val="right"/>
              <w:ind w:right="446"/>
              <w:spacing w:after="0"/>
              <w:rPr>
                <w:sz w:val="20"/>
                <w:szCs w:val="20"/>
                <w:color w:val="auto"/>
              </w:rPr>
            </w:pPr>
            <w:r>
              <w:rPr>
                <w:rFonts w:ascii="Arial" w:cs="Arial" w:eastAsia="Arial" w:hAnsi="Arial"/>
                <w:sz w:val="15"/>
                <w:szCs w:val="15"/>
                <w:color w:val="auto"/>
              </w:rPr>
              <w:t>4,846,227</w:t>
            </w:r>
          </w:p>
        </w:tc>
      </w:tr>
      <w:tr>
        <w:trPr>
          <w:trHeight w:val="182"/>
        </w:trPr>
        <w:tc>
          <w:tcPr>
            <w:tcW w:w="2720" w:type="dxa"/>
            <w:vAlign w:val="bottom"/>
          </w:tcPr>
          <w:p>
            <w:pPr>
              <w:spacing w:after="0"/>
              <w:rPr>
                <w:sz w:val="20"/>
                <w:szCs w:val="20"/>
                <w:color w:val="auto"/>
              </w:rPr>
            </w:pPr>
            <w:r>
              <w:rPr>
                <w:rFonts w:ascii="Arial" w:cs="Arial" w:eastAsia="Arial" w:hAnsi="Arial"/>
                <w:sz w:val="15"/>
                <w:szCs w:val="15"/>
                <w:color w:val="auto"/>
              </w:rPr>
              <w:t>Equity compensation plans not</w:t>
            </w:r>
          </w:p>
        </w:tc>
        <w:tc>
          <w:tcPr>
            <w:tcW w:w="20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08"/>
        </w:trPr>
        <w:tc>
          <w:tcPr>
            <w:tcW w:w="2720" w:type="dxa"/>
            <w:vAlign w:val="bottom"/>
          </w:tcPr>
          <w:p>
            <w:pPr>
              <w:ind w:left="160"/>
              <w:spacing w:after="0"/>
              <w:rPr>
                <w:sz w:val="20"/>
                <w:szCs w:val="20"/>
                <w:color w:val="auto"/>
              </w:rPr>
            </w:pPr>
            <w:r>
              <w:rPr>
                <w:rFonts w:ascii="Arial" w:cs="Arial" w:eastAsia="Arial" w:hAnsi="Arial"/>
                <w:sz w:val="15"/>
                <w:szCs w:val="15"/>
                <w:color w:val="auto"/>
              </w:rPr>
              <w:t>approved by stockholders</w:t>
            </w:r>
          </w:p>
        </w:tc>
        <w:tc>
          <w:tcPr>
            <w:tcW w:w="2020" w:type="dxa"/>
            <w:vAlign w:val="bottom"/>
          </w:tcPr>
          <w:p>
            <w:pPr>
              <w:jc w:val="right"/>
              <w:ind w:right="426"/>
              <w:spacing w:after="0"/>
              <w:rPr>
                <w:sz w:val="20"/>
                <w:szCs w:val="20"/>
                <w:color w:val="auto"/>
              </w:rPr>
            </w:pPr>
            <w:r>
              <w:rPr>
                <w:rFonts w:ascii="Arial" w:cs="Arial" w:eastAsia="Arial" w:hAnsi="Arial"/>
                <w:sz w:val="15"/>
                <w:szCs w:val="15"/>
                <w:color w:val="auto"/>
              </w:rPr>
              <w:t>—</w:t>
            </w:r>
          </w:p>
        </w:tc>
        <w:tc>
          <w:tcPr>
            <w:tcW w:w="2000" w:type="dxa"/>
            <w:vAlign w:val="bottom"/>
          </w:tcPr>
          <w:p>
            <w:pPr>
              <w:jc w:val="right"/>
              <w:ind w:right="447"/>
              <w:spacing w:after="0"/>
              <w:rPr>
                <w:sz w:val="20"/>
                <w:szCs w:val="20"/>
                <w:color w:val="auto"/>
              </w:rPr>
            </w:pPr>
            <w:r>
              <w:rPr>
                <w:rFonts w:ascii="Arial" w:cs="Arial" w:eastAsia="Arial" w:hAnsi="Arial"/>
                <w:sz w:val="15"/>
                <w:szCs w:val="15"/>
                <w:color w:val="auto"/>
              </w:rPr>
              <w:t>—</w:t>
            </w:r>
          </w:p>
        </w:tc>
        <w:tc>
          <w:tcPr>
            <w:tcW w:w="2180" w:type="dxa"/>
            <w:vAlign w:val="bottom"/>
          </w:tcPr>
          <w:p>
            <w:pPr>
              <w:jc w:val="right"/>
              <w:ind w:right="446"/>
              <w:spacing w:after="0"/>
              <w:rPr>
                <w:sz w:val="20"/>
                <w:szCs w:val="20"/>
                <w:color w:val="auto"/>
              </w:rPr>
            </w:pPr>
            <w:r>
              <w:rPr>
                <w:rFonts w:ascii="Arial" w:cs="Arial" w:eastAsia="Arial" w:hAnsi="Arial"/>
                <w:sz w:val="15"/>
                <w:szCs w:val="15"/>
                <w:color w:val="auto"/>
              </w:rPr>
              <w:t>—</w:t>
            </w:r>
          </w:p>
        </w:tc>
      </w:tr>
      <w:tr>
        <w:trPr>
          <w:trHeight w:val="224"/>
        </w:trPr>
        <w:tc>
          <w:tcPr>
            <w:tcW w:w="2720" w:type="dxa"/>
            <w:vAlign w:val="bottom"/>
            <w:shd w:val="clear" w:color="auto" w:fill="DFE4EA"/>
          </w:tcPr>
          <w:p>
            <w:pPr>
              <w:spacing w:after="0"/>
              <w:rPr>
                <w:sz w:val="20"/>
                <w:szCs w:val="20"/>
                <w:color w:val="auto"/>
              </w:rPr>
            </w:pPr>
            <w:r>
              <w:rPr>
                <w:rFonts w:ascii="Arial" w:cs="Arial" w:eastAsia="Arial" w:hAnsi="Arial"/>
                <w:sz w:val="15"/>
                <w:szCs w:val="15"/>
                <w:b w:val="1"/>
                <w:bCs w:val="1"/>
                <w:color w:val="auto"/>
              </w:rPr>
              <w:t>Total</w:t>
            </w:r>
          </w:p>
        </w:tc>
        <w:tc>
          <w:tcPr>
            <w:tcW w:w="2020" w:type="dxa"/>
            <w:vAlign w:val="bottom"/>
            <w:shd w:val="clear" w:color="auto" w:fill="DFE4EA"/>
          </w:tcPr>
          <w:p>
            <w:pPr>
              <w:jc w:val="right"/>
              <w:ind w:right="426"/>
              <w:spacing w:after="0"/>
              <w:rPr>
                <w:sz w:val="20"/>
                <w:szCs w:val="20"/>
                <w:color w:val="auto"/>
              </w:rPr>
            </w:pPr>
            <w:r>
              <w:rPr>
                <w:rFonts w:ascii="Arial" w:cs="Arial" w:eastAsia="Arial" w:hAnsi="Arial"/>
                <w:sz w:val="15"/>
                <w:szCs w:val="15"/>
                <w:b w:val="1"/>
                <w:bCs w:val="1"/>
                <w:color w:val="auto"/>
              </w:rPr>
              <w:t>2,878,380</w:t>
            </w:r>
          </w:p>
        </w:tc>
        <w:tc>
          <w:tcPr>
            <w:tcW w:w="2000" w:type="dxa"/>
            <w:vAlign w:val="bottom"/>
            <w:shd w:val="clear" w:color="auto" w:fill="DFE4EA"/>
          </w:tcPr>
          <w:p>
            <w:pPr>
              <w:jc w:val="right"/>
              <w:ind w:right="447"/>
              <w:spacing w:after="0"/>
              <w:rPr>
                <w:sz w:val="20"/>
                <w:szCs w:val="20"/>
                <w:color w:val="auto"/>
              </w:rPr>
            </w:pPr>
            <w:r>
              <w:rPr>
                <w:rFonts w:ascii="Arial" w:cs="Arial" w:eastAsia="Arial" w:hAnsi="Arial"/>
                <w:sz w:val="15"/>
                <w:szCs w:val="15"/>
                <w:b w:val="1"/>
                <w:bCs w:val="1"/>
                <w:color w:val="auto"/>
              </w:rPr>
              <w:t>$16.76</w:t>
            </w:r>
          </w:p>
        </w:tc>
        <w:tc>
          <w:tcPr>
            <w:tcW w:w="2180" w:type="dxa"/>
            <w:vAlign w:val="bottom"/>
            <w:shd w:val="clear" w:color="auto" w:fill="DFE4EA"/>
          </w:tcPr>
          <w:p>
            <w:pPr>
              <w:jc w:val="right"/>
              <w:ind w:right="446"/>
              <w:spacing w:after="0"/>
              <w:rPr>
                <w:sz w:val="20"/>
                <w:szCs w:val="20"/>
                <w:color w:val="auto"/>
              </w:rPr>
            </w:pPr>
            <w:r>
              <w:rPr>
                <w:rFonts w:ascii="Arial" w:cs="Arial" w:eastAsia="Arial" w:hAnsi="Arial"/>
                <w:sz w:val="15"/>
                <w:szCs w:val="15"/>
                <w:b w:val="1"/>
                <w:bCs w:val="1"/>
                <w:color w:val="auto"/>
              </w:rPr>
              <w:t>4,846,227</w:t>
            </w:r>
          </w:p>
        </w:tc>
      </w:tr>
    </w:tbl>
    <w:p>
      <w:pPr>
        <w:spacing w:after="0" w:line="115" w:lineRule="exact"/>
        <w:rPr>
          <w:sz w:val="20"/>
          <w:szCs w:val="20"/>
          <w:color w:val="auto"/>
        </w:rPr>
      </w:pPr>
    </w:p>
    <w:p>
      <w:pPr>
        <w:ind w:left="560" w:hanging="225"/>
        <w:spacing w:after="0" w:line="200" w:lineRule="auto"/>
        <w:tabs>
          <w:tab w:leader="none" w:pos="56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Plans include the 2020 ECIP and the Employee Stock Purchase Plan (“ESPP”). As of December 31, 2025, 4,234,987 shares remain available for grant in the 2020 ECIP and 611,240 shares remain available for grant in the ESPP.</w:t>
      </w:r>
    </w:p>
    <w:p>
      <w:pPr>
        <w:spacing w:after="0" w:line="118" w:lineRule="exact"/>
        <w:rPr>
          <w:rFonts w:ascii="Arial" w:cs="Arial" w:eastAsia="Arial" w:hAnsi="Arial"/>
          <w:sz w:val="22"/>
          <w:szCs w:val="22"/>
          <w:color w:val="auto"/>
          <w:vertAlign w:val="superscript"/>
        </w:rPr>
      </w:pPr>
    </w:p>
    <w:p>
      <w:pPr>
        <w:jc w:val="both"/>
        <w:ind w:left="560" w:hanging="225"/>
        <w:spacing w:after="0" w:line="212" w:lineRule="auto"/>
        <w:tabs>
          <w:tab w:leader="none" w:pos="56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Amounts in column (a) include 1,113,724 Stock Options, 1,042,995 RSUs, and 721,661 PSUs (including shares for which performance was not yet calculated as of December 31, 2025, which are calculated at maximum payout which is 242,089 shares above target). The amounts in column (a) do not include 50,600 Restricted Stock Awards (RSAs) that were unvested and outstanding as of December 31, 2025.</w:t>
      </w:r>
    </w:p>
    <w:p>
      <w:pPr>
        <w:spacing w:after="0" w:line="49" w:lineRule="exact"/>
        <w:rPr>
          <w:rFonts w:ascii="Arial" w:cs="Arial" w:eastAsia="Arial" w:hAnsi="Arial"/>
          <w:sz w:val="22"/>
          <w:szCs w:val="22"/>
          <w:color w:val="auto"/>
          <w:vertAlign w:val="superscript"/>
        </w:rPr>
      </w:pPr>
    </w:p>
    <w:p>
      <w:pPr>
        <w:ind w:left="560" w:hanging="225"/>
        <w:spacing w:after="0"/>
        <w:tabs>
          <w:tab w:leader="none" w:pos="56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Amounts in column (b) only reflect outstanding Stock Options.</w:t>
      </w:r>
    </w:p>
    <w:p>
      <w:pPr>
        <w:spacing w:after="0" w:line="106" w:lineRule="exact"/>
        <w:rPr>
          <w:rFonts w:ascii="Arial" w:cs="Arial" w:eastAsia="Arial" w:hAnsi="Arial"/>
          <w:sz w:val="22"/>
          <w:szCs w:val="22"/>
          <w:color w:val="auto"/>
          <w:vertAlign w:val="superscript"/>
        </w:rPr>
      </w:pPr>
    </w:p>
    <w:p>
      <w:pPr>
        <w:jc w:val="both"/>
        <w:ind w:left="560" w:hanging="225"/>
        <w:spacing w:after="0" w:line="212" w:lineRule="auto"/>
        <w:tabs>
          <w:tab w:leader="none" w:pos="56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Total includes 42,861 shares subject to purchase during our ESPP purchase period ending June 30, 2026, which is calculated using an estimated purchase price of $37.79, which equals 85% of the closing price of the Company’s common stock of $44.46 on January 2, 2026, the first trading day in the current ESPP offering period.</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b w:val="1"/>
          <w:bCs w:val="1"/>
          <w:color w:val="2B4B74"/>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Pursuant to a mandate of the Dodd-Frank Wall Street Reform and Consumer Protection Act and Item 402(u) of Regulation S-K, we are providing disclosure of the ratio of the median employee’s annual total compensation to the total annual compensation of the principal executive officer (“PEO”). The Company’s PEO is Mr. Mackin.</w:t>
      </w:r>
    </w:p>
    <w:p>
      <w:pPr>
        <w:spacing w:after="0" w:line="126" w:lineRule="exact"/>
        <w:rPr>
          <w:sz w:val="20"/>
          <w:szCs w:val="20"/>
          <w:color w:val="auto"/>
        </w:rPr>
      </w:pPr>
    </w:p>
    <w:tbl>
      <w:tblPr>
        <w:tblLayout w:type="fixed"/>
        <w:tblInd w:w="156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tcPr>
          <w:p>
            <w:pPr>
              <w:jc w:val="center"/>
              <w:ind w:right="103"/>
              <w:spacing w:after="0"/>
              <w:rPr>
                <w:sz w:val="20"/>
                <w:szCs w:val="20"/>
                <w:color w:val="auto"/>
              </w:rPr>
            </w:pPr>
            <w:r>
              <w:rPr>
                <w:rFonts w:ascii="Arial" w:cs="Arial" w:eastAsia="Arial" w:hAnsi="Arial"/>
                <w:sz w:val="15"/>
                <w:szCs w:val="15"/>
                <w:b w:val="1"/>
                <w:bCs w:val="1"/>
                <w:color w:val="auto"/>
              </w:rPr>
              <w:t>Median</w:t>
            </w:r>
          </w:p>
        </w:tc>
      </w:tr>
      <w:tr>
        <w:trPr>
          <w:trHeight w:val="200"/>
        </w:trPr>
        <w:tc>
          <w:tcPr>
            <w:tcW w:w="3500" w:type="dxa"/>
            <w:vAlign w:val="bottom"/>
          </w:tcPr>
          <w:p>
            <w:pPr>
              <w:spacing w:after="0"/>
              <w:rPr>
                <w:sz w:val="17"/>
                <w:szCs w:val="17"/>
                <w:color w:val="auto"/>
              </w:rPr>
            </w:pPr>
          </w:p>
        </w:tc>
        <w:tc>
          <w:tcPr>
            <w:tcW w:w="2140" w:type="dxa"/>
            <w:vAlign w:val="bottom"/>
          </w:tcPr>
          <w:p>
            <w:pPr>
              <w:jc w:val="center"/>
              <w:ind w:left="263"/>
              <w:spacing w:after="0"/>
              <w:rPr>
                <w:sz w:val="20"/>
                <w:szCs w:val="20"/>
                <w:color w:val="auto"/>
              </w:rPr>
            </w:pPr>
            <w:r>
              <w:rPr>
                <w:rFonts w:ascii="Arial" w:cs="Arial" w:eastAsia="Arial" w:hAnsi="Arial"/>
                <w:sz w:val="15"/>
                <w:szCs w:val="15"/>
                <w:b w:val="1"/>
                <w:bCs w:val="1"/>
                <w:color w:val="auto"/>
              </w:rPr>
              <w:t>PEO</w:t>
            </w:r>
          </w:p>
        </w:tc>
        <w:tc>
          <w:tcPr>
            <w:tcW w:w="1260" w:type="dxa"/>
            <w:vAlign w:val="bottom"/>
          </w:tcPr>
          <w:p>
            <w:pPr>
              <w:jc w:val="center"/>
              <w:ind w:right="103"/>
              <w:spacing w:after="0" w:line="200" w:lineRule="exact"/>
              <w:rPr>
                <w:sz w:val="20"/>
                <w:szCs w:val="20"/>
                <w:color w:val="auto"/>
              </w:rPr>
            </w:pPr>
            <w:r>
              <w:rPr>
                <w:rFonts w:ascii="Arial" w:cs="Arial" w:eastAsia="Arial" w:hAnsi="Arial"/>
                <w:sz w:val="15"/>
                <w:szCs w:val="15"/>
                <w:b w:val="1"/>
                <w:bCs w:val="1"/>
                <w:color w:val="auto"/>
                <w:w w:val="98"/>
              </w:rPr>
              <w:t>Employee</w:t>
            </w:r>
            <w:r>
              <w:rPr>
                <w:rFonts w:ascii="Arial" w:cs="Arial" w:eastAsia="Arial" w:hAnsi="Arial"/>
                <w:sz w:val="23"/>
                <w:szCs w:val="23"/>
                <w:b w:val="1"/>
                <w:bCs w:val="1"/>
                <w:color w:val="auto"/>
                <w:w w:val="98"/>
                <w:vertAlign w:val="superscript"/>
              </w:rPr>
              <w:t>(1)</w:t>
            </w:r>
          </w:p>
        </w:tc>
      </w:tr>
      <w:tr>
        <w:trPr>
          <w:trHeight w:val="206"/>
        </w:trPr>
        <w:tc>
          <w:tcPr>
            <w:tcW w:w="35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rPr>
              <w:t>($)</w:t>
            </w:r>
          </w:p>
        </w:tc>
      </w:tr>
      <w:tr>
        <w:trPr>
          <w:trHeight w:val="244"/>
        </w:trPr>
        <w:tc>
          <w:tcPr>
            <w:tcW w:w="3500" w:type="dxa"/>
            <w:vAlign w:val="bottom"/>
            <w:shd w:val="clear" w:color="auto" w:fill="DFE4EA"/>
          </w:tcPr>
          <w:p>
            <w:pPr>
              <w:spacing w:after="0" w:line="243" w:lineRule="exact"/>
              <w:rPr>
                <w:sz w:val="20"/>
                <w:szCs w:val="20"/>
                <w:color w:val="auto"/>
              </w:rPr>
            </w:pPr>
            <w:r>
              <w:rPr>
                <w:rFonts w:ascii="Arial" w:cs="Arial" w:eastAsia="Arial" w:hAnsi="Arial"/>
                <w:sz w:val="15"/>
                <w:szCs w:val="15"/>
                <w:color w:val="auto"/>
              </w:rPr>
              <w:t>Total Compensation</w:t>
            </w:r>
            <w:r>
              <w:rPr>
                <w:rFonts w:ascii="Arial" w:cs="Arial" w:eastAsia="Arial" w:hAnsi="Arial"/>
                <w:sz w:val="24"/>
                <w:szCs w:val="24"/>
                <w:color w:val="auto"/>
                <w:vertAlign w:val="superscript"/>
              </w:rPr>
              <w:t>(2)</w:t>
            </w:r>
          </w:p>
        </w:tc>
        <w:tc>
          <w:tcPr>
            <w:tcW w:w="2140" w:type="dxa"/>
            <w:vAlign w:val="bottom"/>
            <w:shd w:val="clear" w:color="auto" w:fill="DFE4EA"/>
          </w:tcPr>
          <w:p>
            <w:pPr>
              <w:jc w:val="right"/>
              <w:ind w:right="363"/>
              <w:spacing w:after="0"/>
              <w:rPr>
                <w:sz w:val="20"/>
                <w:szCs w:val="20"/>
                <w:color w:val="auto"/>
              </w:rPr>
            </w:pPr>
            <w:r>
              <w:rPr>
                <w:rFonts w:ascii="Arial" w:cs="Arial" w:eastAsia="Arial" w:hAnsi="Arial"/>
                <w:sz w:val="15"/>
                <w:szCs w:val="15"/>
                <w:color w:val="auto"/>
              </w:rPr>
              <w:t>6,883,108</w:t>
            </w:r>
          </w:p>
        </w:tc>
        <w:tc>
          <w:tcPr>
            <w:tcW w:w="1260" w:type="dxa"/>
            <w:vAlign w:val="bottom"/>
            <w:shd w:val="clear" w:color="auto" w:fill="DFE4EA"/>
          </w:tcPr>
          <w:p>
            <w:pPr>
              <w:jc w:val="right"/>
              <w:ind w:right="283"/>
              <w:spacing w:after="0"/>
              <w:rPr>
                <w:sz w:val="20"/>
                <w:szCs w:val="20"/>
                <w:color w:val="auto"/>
              </w:rPr>
            </w:pPr>
            <w:r>
              <w:rPr>
                <w:rFonts w:ascii="Arial" w:cs="Arial" w:eastAsia="Arial" w:hAnsi="Arial"/>
                <w:sz w:val="15"/>
                <w:szCs w:val="15"/>
                <w:color w:val="auto"/>
              </w:rPr>
              <w:t>69,883</w:t>
            </w:r>
          </w:p>
        </w:tc>
      </w:tr>
      <w:tr>
        <w:trPr>
          <w:trHeight w:val="218"/>
        </w:trPr>
        <w:tc>
          <w:tcPr>
            <w:tcW w:w="3500" w:type="dxa"/>
            <w:vAlign w:val="bottom"/>
          </w:tcPr>
          <w:p>
            <w:pPr>
              <w:spacing w:after="0"/>
              <w:rPr>
                <w:sz w:val="20"/>
                <w:szCs w:val="20"/>
                <w:color w:val="auto"/>
              </w:rPr>
            </w:pPr>
            <w:r>
              <w:rPr>
                <w:rFonts w:ascii="Arial" w:cs="Arial" w:eastAsia="Arial" w:hAnsi="Arial"/>
                <w:sz w:val="15"/>
                <w:szCs w:val="15"/>
                <w:color w:val="auto"/>
              </w:rPr>
              <w:t>PEO to Median Employee Pay Ratio</w:t>
            </w:r>
          </w:p>
        </w:tc>
        <w:tc>
          <w:tcPr>
            <w:tcW w:w="2140" w:type="dxa"/>
            <w:vAlign w:val="bottom"/>
          </w:tcPr>
          <w:p>
            <w:pPr>
              <w:jc w:val="right"/>
              <w:ind w:right="23"/>
              <w:spacing w:after="0"/>
              <w:rPr>
                <w:sz w:val="20"/>
                <w:szCs w:val="20"/>
                <w:color w:val="auto"/>
              </w:rPr>
            </w:pPr>
            <w:r>
              <w:rPr>
                <w:rFonts w:ascii="Arial" w:cs="Arial" w:eastAsia="Arial" w:hAnsi="Arial"/>
                <w:sz w:val="15"/>
                <w:szCs w:val="15"/>
                <w:b w:val="1"/>
                <w:bCs w:val="1"/>
                <w:color w:val="auto"/>
              </w:rPr>
              <w:t>98.5 :1</w:t>
            </w:r>
          </w:p>
        </w:tc>
        <w:tc>
          <w:tcPr>
            <w:tcW w:w="1260" w:type="dxa"/>
            <w:vAlign w:val="bottom"/>
          </w:tcPr>
          <w:p>
            <w:pPr>
              <w:spacing w:after="0"/>
              <w:rPr>
                <w:sz w:val="18"/>
                <w:szCs w:val="18"/>
                <w:color w:val="auto"/>
              </w:rPr>
            </w:pPr>
          </w:p>
        </w:tc>
      </w:tr>
    </w:tbl>
    <w:p>
      <w:pPr>
        <w:spacing w:after="0" w:line="164" w:lineRule="exact"/>
        <w:rPr>
          <w:sz w:val="20"/>
          <w:szCs w:val="20"/>
          <w:color w:val="auto"/>
        </w:rPr>
      </w:pPr>
    </w:p>
    <w:p>
      <w:pPr>
        <w:jc w:val="both"/>
        <w:ind w:left="1760" w:right="1540" w:hanging="219"/>
        <w:spacing w:after="0" w:line="225" w:lineRule="auto"/>
        <w:tabs>
          <w:tab w:leader="none" w:pos="176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Median employee was determined among all persons employed by Artivion or any of its subsidiaries as of December 31, 2025, excluding Mr. Mackin. Base salary, commission payments, cash bonus, and equity awards were considered when determining the 2025 compensation of the median employee. All 2025 compensation not paid in U.S. dollars was converted to U.S. dollars using the exchange rate as of December 31, 2025. All equity was recorded at grant date fair value. Base salary was annualized for those employees that were not employed for the full year of 2025.</w:t>
      </w:r>
    </w:p>
    <w:p>
      <w:pPr>
        <w:spacing w:after="0" w:line="41" w:lineRule="exact"/>
        <w:rPr>
          <w:rFonts w:ascii="Arial" w:cs="Arial" w:eastAsia="Arial" w:hAnsi="Arial"/>
          <w:sz w:val="22"/>
          <w:szCs w:val="22"/>
          <w:color w:val="auto"/>
          <w:vertAlign w:val="superscript"/>
        </w:rPr>
      </w:pPr>
    </w:p>
    <w:p>
      <w:pPr>
        <w:ind w:left="1760" w:hanging="219"/>
        <w:spacing w:after="0"/>
        <w:tabs>
          <w:tab w:leader="none" w:pos="176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Total Compensation includes all components recorded in the Summary Compensation Table.</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9"/>
          <w:szCs w:val="19"/>
          <w:b w:val="1"/>
          <w:bCs w:val="1"/>
          <w:color w:val="2B4B74"/>
        </w:rPr>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This section provides disclosure about the relationship between executive compensation actually paid to our principal executive officer (“PEO”) and Non-PEO Named Executive Officers (NEOs) and certain financial performance measures of the Company for the fiscal years listed below. This disclosure has been prepared in accordance with Item 402(v) of Regulation S-K under the Securities Exchange Act of 1934 (the “Pay Versus Performance Rules”) and does not necessarily reflect how the Compensation Committee evaluates compensation decisions.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Average</w:t>
            </w:r>
          </w:p>
        </w:tc>
        <w:tc>
          <w:tcPr>
            <w:tcW w:w="1420" w:type="dxa"/>
            <w:vAlign w:val="bottom"/>
          </w:tcPr>
          <w:p>
            <w:pPr>
              <w:spacing w:after="0"/>
              <w:rPr>
                <w:sz w:val="15"/>
                <w:szCs w:val="15"/>
                <w:color w:val="auto"/>
              </w:rPr>
            </w:pPr>
          </w:p>
        </w:tc>
        <w:tc>
          <w:tcPr>
            <w:tcW w:w="2220" w:type="dxa"/>
            <w:vAlign w:val="bottom"/>
            <w:gridSpan w:val="2"/>
          </w:tcPr>
          <w:p>
            <w:pPr>
              <w:jc w:val="right"/>
              <w:ind w:right="106"/>
              <w:spacing w:after="0"/>
              <w:rPr>
                <w:sz w:val="20"/>
                <w:szCs w:val="20"/>
                <w:color w:val="auto"/>
              </w:rPr>
            </w:pPr>
            <w:r>
              <w:rPr>
                <w:rFonts w:ascii="Arial" w:cs="Arial" w:eastAsia="Arial" w:hAnsi="Arial"/>
                <w:sz w:val="15"/>
                <w:szCs w:val="15"/>
                <w:b w:val="1"/>
                <w:bCs w:val="1"/>
                <w:color w:val="auto"/>
              </w:rPr>
              <w:t>Value of Initial Fixed $100</w:t>
            </w: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7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2220" w:type="dxa"/>
            <w:vAlign w:val="bottom"/>
            <w:gridSpan w:val="2"/>
            <w:vMerge w:val="restart"/>
          </w:tcPr>
          <w:p>
            <w:pPr>
              <w:jc w:val="right"/>
              <w:ind w:right="246"/>
              <w:spacing w:after="0"/>
              <w:rPr>
                <w:sz w:val="20"/>
                <w:szCs w:val="20"/>
                <w:color w:val="auto"/>
              </w:rPr>
            </w:pPr>
            <w:r>
              <w:rPr>
                <w:rFonts w:ascii="Arial" w:cs="Arial" w:eastAsia="Arial" w:hAnsi="Arial"/>
                <w:sz w:val="15"/>
                <w:szCs w:val="15"/>
                <w:b w:val="1"/>
                <w:bCs w:val="1"/>
                <w:color w:val="auto"/>
              </w:rPr>
              <w:t>Investment based on:</w:t>
            </w: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42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Summary</w:t>
            </w:r>
          </w:p>
        </w:tc>
        <w:tc>
          <w:tcPr>
            <w:tcW w:w="1380" w:type="dxa"/>
            <w:vAlign w:val="bottom"/>
          </w:tcPr>
          <w:p>
            <w:pPr>
              <w:spacing w:after="0"/>
              <w:rPr>
                <w:sz w:val="12"/>
                <w:szCs w:val="12"/>
                <w:color w:val="auto"/>
              </w:rPr>
            </w:pPr>
          </w:p>
        </w:tc>
        <w:tc>
          <w:tcPr>
            <w:tcW w:w="140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Summary</w:t>
            </w:r>
          </w:p>
        </w:tc>
        <w:tc>
          <w:tcPr>
            <w:tcW w:w="142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Average</w:t>
            </w:r>
          </w:p>
        </w:tc>
        <w:tc>
          <w:tcPr>
            <w:tcW w:w="2220" w:type="dxa"/>
            <w:vAlign w:val="bottom"/>
            <w:tcBorders>
              <w:bottom w:val="single" w:sz="8" w:color="auto"/>
            </w:tcBorders>
            <w:gridSpan w:val="2"/>
            <w:vMerge w:val="continue"/>
          </w:tcPr>
          <w:p>
            <w:pPr>
              <w:spacing w:after="0"/>
              <w:rPr>
                <w:sz w:val="12"/>
                <w:szCs w:val="12"/>
                <w:color w:val="auto"/>
              </w:rPr>
            </w:pPr>
          </w:p>
        </w:tc>
        <w:tc>
          <w:tcPr>
            <w:tcW w:w="700" w:type="dxa"/>
            <w:vAlign w:val="bottom"/>
          </w:tcPr>
          <w:p>
            <w:pPr>
              <w:ind w:left="220"/>
              <w:spacing w:after="0" w:line="136" w:lineRule="exact"/>
              <w:rPr>
                <w:sz w:val="20"/>
                <w:szCs w:val="20"/>
                <w:color w:val="auto"/>
              </w:rPr>
            </w:pPr>
            <w:r>
              <w:rPr>
                <w:rFonts w:ascii="Arial" w:cs="Arial" w:eastAsia="Arial" w:hAnsi="Arial"/>
                <w:sz w:val="15"/>
                <w:szCs w:val="15"/>
                <w:b w:val="1"/>
                <w:bCs w:val="1"/>
                <w:color w:val="auto"/>
              </w:rPr>
              <w:t>Net</w:t>
            </w:r>
          </w:p>
        </w:tc>
        <w:tc>
          <w:tcPr>
            <w:tcW w:w="78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AORT</w:t>
            </w: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rPr>
              <w:t>Compensation</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rPr>
              <w:t>Compensation</w:t>
            </w: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Compensation</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rPr>
              <w:t>Compensation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AORT Total</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rPr>
              <w:t>Index Total</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auto"/>
              </w:rPr>
              <w:t>Income/</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rPr>
              <w:t>Revenue</w:t>
            </w: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rPr>
              <w:t>Table Total</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rPr>
              <w:t>Actually Paid</w:t>
            </w:r>
          </w:p>
        </w:tc>
        <w:tc>
          <w:tcPr>
            <w:tcW w:w="1400" w:type="dxa"/>
            <w:vAlign w:val="bottom"/>
          </w:tcPr>
          <w:p>
            <w:pPr>
              <w:jc w:val="right"/>
              <w:ind w:right="106"/>
              <w:spacing w:after="0"/>
              <w:rPr>
                <w:sz w:val="20"/>
                <w:szCs w:val="20"/>
                <w:color w:val="auto"/>
              </w:rPr>
            </w:pPr>
            <w:r>
              <w:rPr>
                <w:rFonts w:ascii="Arial" w:cs="Arial" w:eastAsia="Arial" w:hAnsi="Arial"/>
                <w:sz w:val="15"/>
                <w:szCs w:val="15"/>
                <w:b w:val="1"/>
                <w:bCs w:val="1"/>
                <w:color w:val="auto"/>
              </w:rPr>
              <w:t>Table Total for</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rPr>
              <w:t>Actually Paid to</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Stockholder</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rPr>
              <w:t>Stockholder</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auto"/>
              </w:rPr>
              <w:t>(Loss)</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rPr>
              <w:t>Growth</w:t>
            </w:r>
          </w:p>
        </w:tc>
        <w:tc>
          <w:tcPr>
            <w:tcW w:w="0" w:type="dxa"/>
            <w:vAlign w:val="bottom"/>
          </w:tcPr>
          <w:p>
            <w:pPr>
              <w:spacing w:after="0"/>
              <w:rPr>
                <w:sz w:val="1"/>
                <w:szCs w:val="1"/>
                <w:color w:val="auto"/>
              </w:rPr>
            </w:pPr>
          </w:p>
        </w:tc>
      </w:tr>
      <w:tr>
        <w:trPr>
          <w:trHeight w:val="202"/>
        </w:trPr>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Year</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for PEO</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to PEO</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non-PEO NEOs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non-PEO NEOs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Return</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Return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($mm)</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($mm)</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Arial" w:cs="Arial" w:eastAsia="Arial" w:hAnsi="Arial"/>
                <w:sz w:val="9"/>
                <w:szCs w:val="9"/>
                <w:b w:val="1"/>
                <w:bCs w:val="1"/>
                <w:color w:val="auto"/>
              </w:rPr>
              <w:t>(a)</w:t>
            </w:r>
          </w:p>
        </w:tc>
        <w:tc>
          <w:tcPr>
            <w:tcW w:w="1380" w:type="dxa"/>
            <w:vAlign w:val="bottom"/>
          </w:tcPr>
          <w:p>
            <w:pPr>
              <w:jc w:val="center"/>
              <w:spacing w:after="0"/>
              <w:rPr>
                <w:sz w:val="20"/>
                <w:szCs w:val="20"/>
                <w:color w:val="auto"/>
              </w:rPr>
            </w:pPr>
            <w:r>
              <w:rPr>
                <w:rFonts w:ascii="Arial" w:cs="Arial" w:eastAsia="Arial" w:hAnsi="Arial"/>
                <w:sz w:val="9"/>
                <w:szCs w:val="9"/>
                <w:b w:val="1"/>
                <w:bCs w:val="1"/>
                <w:color w:val="auto"/>
              </w:rPr>
              <w:t>(a)</w:t>
            </w:r>
          </w:p>
        </w:tc>
        <w:tc>
          <w:tcPr>
            <w:tcW w:w="1400" w:type="dxa"/>
            <w:vAlign w:val="bottom"/>
          </w:tcPr>
          <w:p>
            <w:pPr>
              <w:jc w:val="center"/>
              <w:spacing w:after="0"/>
              <w:rPr>
                <w:sz w:val="20"/>
                <w:szCs w:val="20"/>
                <w:color w:val="auto"/>
              </w:rPr>
            </w:pPr>
            <w:r>
              <w:rPr>
                <w:rFonts w:ascii="Arial" w:cs="Arial" w:eastAsia="Arial" w:hAnsi="Arial"/>
                <w:sz w:val="9"/>
                <w:szCs w:val="9"/>
                <w:b w:val="1"/>
                <w:bCs w:val="1"/>
                <w:color w:val="auto"/>
              </w:rPr>
              <w:t>(b)</w:t>
            </w:r>
          </w:p>
        </w:tc>
        <w:tc>
          <w:tcPr>
            <w:tcW w:w="1420" w:type="dxa"/>
            <w:vAlign w:val="bottom"/>
          </w:tcPr>
          <w:p>
            <w:pPr>
              <w:jc w:val="center"/>
              <w:spacing w:after="0"/>
              <w:rPr>
                <w:sz w:val="20"/>
                <w:szCs w:val="20"/>
                <w:color w:val="auto"/>
              </w:rPr>
            </w:pPr>
            <w:r>
              <w:rPr>
                <w:rFonts w:ascii="Arial" w:cs="Arial" w:eastAsia="Arial" w:hAnsi="Arial"/>
                <w:sz w:val="9"/>
                <w:szCs w:val="9"/>
                <w:b w:val="1"/>
                <w:bCs w:val="1"/>
                <w:color w:val="auto"/>
              </w:rPr>
              <w:t>(b)</w:t>
            </w: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w w:val="90"/>
              </w:rPr>
              <w:t>(c)</w:t>
            </w:r>
          </w:p>
        </w:tc>
        <w:tc>
          <w:tcPr>
            <w:tcW w:w="1120" w:type="dxa"/>
            <w:vAlign w:val="bottom"/>
          </w:tcPr>
          <w:p>
            <w:pPr>
              <w:jc w:val="center"/>
              <w:spacing w:after="0"/>
              <w:rPr>
                <w:sz w:val="20"/>
                <w:szCs w:val="20"/>
                <w:color w:val="auto"/>
              </w:rPr>
            </w:pPr>
            <w:r>
              <w:rPr>
                <w:rFonts w:ascii="Arial" w:cs="Arial" w:eastAsia="Arial" w:hAnsi="Arial"/>
                <w:sz w:val="9"/>
                <w:szCs w:val="9"/>
                <w:b w:val="1"/>
                <w:bCs w:val="1"/>
                <w:color w:val="auto"/>
              </w:rPr>
              <w:t>(c)</w:t>
            </w: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rPr>
              <w:t>​</w:t>
            </w:r>
          </w:p>
        </w:tc>
        <w:tc>
          <w:tcPr>
            <w:tcW w:w="780" w:type="dxa"/>
            <w:vAlign w:val="bottom"/>
          </w:tcPr>
          <w:p>
            <w:pPr>
              <w:jc w:val="center"/>
              <w:spacing w:after="0"/>
              <w:rPr>
                <w:sz w:val="20"/>
                <w:szCs w:val="20"/>
                <w:color w:val="auto"/>
              </w:rPr>
            </w:pPr>
            <w:r>
              <w:rPr>
                <w:rFonts w:ascii="Arial" w:cs="Arial" w:eastAsia="Arial" w:hAnsi="Arial"/>
                <w:sz w:val="9"/>
                <w:szCs w:val="9"/>
                <w:b w:val="1"/>
                <w:bCs w:val="1"/>
                <w:color w:val="auto"/>
              </w:rPr>
              <w:t>(d)</w:t>
            </w: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700" w:type="dxa"/>
            <w:vAlign w:val="bottom"/>
            <w:shd w:val="clear" w:color="auto" w:fill="DFE4EA"/>
          </w:tcPr>
          <w:p>
            <w:pPr>
              <w:jc w:val="right"/>
              <w:ind w:right="223"/>
              <w:spacing w:after="0"/>
              <w:rPr>
                <w:sz w:val="20"/>
                <w:szCs w:val="20"/>
                <w:color w:val="auto"/>
              </w:rPr>
            </w:pPr>
            <w:r>
              <w:rPr>
                <w:rFonts w:ascii="Arial" w:cs="Arial" w:eastAsia="Arial" w:hAnsi="Arial"/>
                <w:sz w:val="15"/>
                <w:szCs w:val="15"/>
                <w:color w:val="auto"/>
              </w:rPr>
              <w:t>2025</w:t>
            </w:r>
          </w:p>
        </w:tc>
        <w:tc>
          <w:tcPr>
            <w:tcW w:w="14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$6,883,108</w:t>
            </w:r>
          </w:p>
        </w:tc>
        <w:tc>
          <w:tcPr>
            <w:tcW w:w="1380" w:type="dxa"/>
            <w:vAlign w:val="bottom"/>
            <w:shd w:val="clear" w:color="auto" w:fill="DFE4EA"/>
          </w:tcPr>
          <w:p>
            <w:pPr>
              <w:jc w:val="right"/>
              <w:ind w:right="66"/>
              <w:spacing w:after="0"/>
              <w:rPr>
                <w:sz w:val="20"/>
                <w:szCs w:val="20"/>
                <w:color w:val="auto"/>
              </w:rPr>
            </w:pPr>
            <w:r>
              <w:rPr>
                <w:rFonts w:ascii="Arial" w:cs="Arial" w:eastAsia="Arial" w:hAnsi="Arial"/>
                <w:sz w:val="15"/>
                <w:szCs w:val="15"/>
                <w:color w:val="auto"/>
              </w:rPr>
              <w:t>$17,441,067</w:t>
            </w:r>
          </w:p>
        </w:tc>
        <w:tc>
          <w:tcPr>
            <w:tcW w:w="1400" w:type="dxa"/>
            <w:vAlign w:val="bottom"/>
            <w:shd w:val="clear" w:color="auto" w:fill="DFE4EA"/>
          </w:tcPr>
          <w:p>
            <w:pPr>
              <w:jc w:val="right"/>
              <w:ind w:right="106"/>
              <w:spacing w:after="0"/>
              <w:rPr>
                <w:sz w:val="20"/>
                <w:szCs w:val="20"/>
                <w:color w:val="auto"/>
              </w:rPr>
            </w:pPr>
            <w:r>
              <w:rPr>
                <w:rFonts w:ascii="Arial" w:cs="Arial" w:eastAsia="Arial" w:hAnsi="Arial"/>
                <w:sz w:val="15"/>
                <w:szCs w:val="15"/>
                <w:color w:val="auto"/>
              </w:rPr>
              <w:t>$2,126,282</w:t>
            </w:r>
          </w:p>
        </w:tc>
        <w:tc>
          <w:tcPr>
            <w:tcW w:w="1420" w:type="dxa"/>
            <w:vAlign w:val="bottom"/>
            <w:shd w:val="clear" w:color="auto" w:fill="DFE4EA"/>
          </w:tcPr>
          <w:p>
            <w:pPr>
              <w:jc w:val="right"/>
              <w:ind w:right="126"/>
              <w:spacing w:after="0"/>
              <w:rPr>
                <w:sz w:val="20"/>
                <w:szCs w:val="20"/>
                <w:color w:val="auto"/>
              </w:rPr>
            </w:pPr>
            <w:r>
              <w:rPr>
                <w:rFonts w:ascii="Arial" w:cs="Arial" w:eastAsia="Arial" w:hAnsi="Arial"/>
                <w:sz w:val="15"/>
                <w:szCs w:val="15"/>
                <w:color w:val="auto"/>
              </w:rPr>
              <w:t>$4,678,251</w:t>
            </w:r>
          </w:p>
        </w:tc>
        <w:tc>
          <w:tcPr>
            <w:tcW w:w="1100" w:type="dxa"/>
            <w:vAlign w:val="bottom"/>
            <w:shd w:val="clear" w:color="auto" w:fill="DFE4EA"/>
          </w:tcPr>
          <w:p>
            <w:pPr>
              <w:jc w:val="right"/>
              <w:ind w:right="186"/>
              <w:spacing w:after="0"/>
              <w:rPr>
                <w:sz w:val="20"/>
                <w:szCs w:val="20"/>
                <w:color w:val="auto"/>
              </w:rPr>
            </w:pPr>
            <w:r>
              <w:rPr>
                <w:rFonts w:ascii="Arial" w:cs="Arial" w:eastAsia="Arial" w:hAnsi="Arial"/>
                <w:sz w:val="15"/>
                <w:szCs w:val="15"/>
                <w:color w:val="auto"/>
              </w:rPr>
              <w:t>$193</w:t>
            </w:r>
          </w:p>
        </w:tc>
        <w:tc>
          <w:tcPr>
            <w:tcW w:w="1120" w:type="dxa"/>
            <w:vAlign w:val="bottom"/>
            <w:shd w:val="clear" w:color="auto" w:fill="DFE4EA"/>
          </w:tcPr>
          <w:p>
            <w:pPr>
              <w:jc w:val="right"/>
              <w:ind w:right="246"/>
              <w:spacing w:after="0"/>
              <w:rPr>
                <w:sz w:val="20"/>
                <w:szCs w:val="20"/>
                <w:color w:val="auto"/>
              </w:rPr>
            </w:pPr>
            <w:r>
              <w:rPr>
                <w:rFonts w:ascii="Arial" w:cs="Arial" w:eastAsia="Arial" w:hAnsi="Arial"/>
                <w:sz w:val="15"/>
                <w:szCs w:val="15"/>
                <w:color w:val="auto"/>
              </w:rPr>
              <w:t>$127</w:t>
            </w:r>
          </w:p>
        </w:tc>
        <w:tc>
          <w:tcPr>
            <w:tcW w:w="700" w:type="dxa"/>
            <w:vAlign w:val="bottom"/>
            <w:shd w:val="clear" w:color="auto" w:fill="DFE4EA"/>
          </w:tcPr>
          <w:p>
            <w:pPr>
              <w:ind w:left="280"/>
              <w:spacing w:after="0"/>
              <w:rPr>
                <w:sz w:val="20"/>
                <w:szCs w:val="20"/>
                <w:color w:val="auto"/>
              </w:rPr>
            </w:pPr>
            <w:r>
              <w:rPr>
                <w:rFonts w:ascii="Arial" w:cs="Arial" w:eastAsia="Arial" w:hAnsi="Arial"/>
                <w:sz w:val="15"/>
                <w:szCs w:val="15"/>
                <w:color w:val="auto"/>
              </w:rPr>
              <w:t>$10</w:t>
            </w:r>
          </w:p>
        </w:tc>
        <w:tc>
          <w:tcPr>
            <w:tcW w:w="780" w:type="dxa"/>
            <w:vAlign w:val="bottom"/>
            <w:shd w:val="clear" w:color="auto" w:fill="DFE4EA"/>
          </w:tcPr>
          <w:p>
            <w:pPr>
              <w:jc w:val="right"/>
              <w:ind w:right="106"/>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6"/>
        </w:trPr>
        <w:tc>
          <w:tcPr>
            <w:tcW w:w="700" w:type="dxa"/>
            <w:vAlign w:val="bottom"/>
          </w:tcPr>
          <w:p>
            <w:pPr>
              <w:jc w:val="right"/>
              <w:ind w:right="223"/>
              <w:spacing w:after="0"/>
              <w:rPr>
                <w:sz w:val="20"/>
                <w:szCs w:val="20"/>
                <w:color w:val="auto"/>
              </w:rPr>
            </w:pPr>
            <w:r>
              <w:rPr>
                <w:rFonts w:ascii="Arial" w:cs="Arial" w:eastAsia="Arial" w:hAnsi="Arial"/>
                <w:sz w:val="15"/>
                <w:szCs w:val="15"/>
                <w:color w:val="auto"/>
              </w:rPr>
              <w:t>2024</w:t>
            </w:r>
          </w:p>
        </w:tc>
        <w:tc>
          <w:tcPr>
            <w:tcW w:w="1420" w:type="dxa"/>
            <w:vAlign w:val="bottom"/>
          </w:tcPr>
          <w:p>
            <w:pPr>
              <w:jc w:val="center"/>
              <w:spacing w:after="0"/>
              <w:rPr>
                <w:sz w:val="20"/>
                <w:szCs w:val="20"/>
                <w:color w:val="auto"/>
              </w:rPr>
            </w:pPr>
            <w:r>
              <w:rPr>
                <w:rFonts w:ascii="Arial" w:cs="Arial" w:eastAsia="Arial" w:hAnsi="Arial"/>
                <w:sz w:val="15"/>
                <w:szCs w:val="15"/>
                <w:color w:val="auto"/>
              </w:rPr>
              <w:t>$5,511,940</w:t>
            </w:r>
          </w:p>
        </w:tc>
        <w:tc>
          <w:tcPr>
            <w:tcW w:w="1380" w:type="dxa"/>
            <w:vAlign w:val="bottom"/>
          </w:tcPr>
          <w:p>
            <w:pPr>
              <w:jc w:val="right"/>
              <w:ind w:right="66"/>
              <w:spacing w:after="0"/>
              <w:rPr>
                <w:sz w:val="20"/>
                <w:szCs w:val="20"/>
                <w:color w:val="auto"/>
              </w:rPr>
            </w:pPr>
            <w:r>
              <w:rPr>
                <w:rFonts w:ascii="Arial" w:cs="Arial" w:eastAsia="Arial" w:hAnsi="Arial"/>
                <w:sz w:val="15"/>
                <w:szCs w:val="15"/>
                <w:color w:val="auto"/>
              </w:rPr>
              <w:t>$12,328,862</w:t>
            </w:r>
          </w:p>
        </w:tc>
        <w:tc>
          <w:tcPr>
            <w:tcW w:w="1400" w:type="dxa"/>
            <w:vAlign w:val="bottom"/>
          </w:tcPr>
          <w:p>
            <w:pPr>
              <w:jc w:val="right"/>
              <w:ind w:right="106"/>
              <w:spacing w:after="0"/>
              <w:rPr>
                <w:sz w:val="20"/>
                <w:szCs w:val="20"/>
                <w:color w:val="auto"/>
              </w:rPr>
            </w:pPr>
            <w:r>
              <w:rPr>
                <w:rFonts w:ascii="Arial" w:cs="Arial" w:eastAsia="Arial" w:hAnsi="Arial"/>
                <w:sz w:val="15"/>
                <w:szCs w:val="15"/>
                <w:color w:val="auto"/>
              </w:rPr>
              <w:t>$1,703,153</w:t>
            </w: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$3,151,020</w:t>
            </w:r>
          </w:p>
        </w:tc>
        <w:tc>
          <w:tcPr>
            <w:tcW w:w="1100" w:type="dxa"/>
            <w:vAlign w:val="bottom"/>
          </w:tcPr>
          <w:p>
            <w:pPr>
              <w:jc w:val="right"/>
              <w:ind w:right="186"/>
              <w:spacing w:after="0"/>
              <w:rPr>
                <w:sz w:val="20"/>
                <w:szCs w:val="20"/>
                <w:color w:val="auto"/>
              </w:rPr>
            </w:pPr>
            <w:r>
              <w:rPr>
                <w:rFonts w:ascii="Arial" w:cs="Arial" w:eastAsia="Arial" w:hAnsi="Arial"/>
                <w:sz w:val="15"/>
                <w:szCs w:val="15"/>
                <w:color w:val="auto"/>
              </w:rPr>
              <w:t>$121</w:t>
            </w:r>
          </w:p>
        </w:tc>
        <w:tc>
          <w:tcPr>
            <w:tcW w:w="1120" w:type="dxa"/>
            <w:vAlign w:val="bottom"/>
          </w:tcPr>
          <w:p>
            <w:pPr>
              <w:jc w:val="right"/>
              <w:ind w:right="246"/>
              <w:spacing w:after="0"/>
              <w:rPr>
                <w:sz w:val="20"/>
                <w:szCs w:val="20"/>
                <w:color w:val="auto"/>
              </w:rPr>
            </w:pPr>
            <w:r>
              <w:rPr>
                <w:rFonts w:ascii="Arial" w:cs="Arial" w:eastAsia="Arial" w:hAnsi="Arial"/>
                <w:sz w:val="15"/>
                <w:szCs w:val="15"/>
                <w:color w:val="auto"/>
              </w:rPr>
              <w:t>$117</w:t>
            </w:r>
          </w:p>
        </w:tc>
        <w:tc>
          <w:tcPr>
            <w:tcW w:w="700" w:type="dxa"/>
            <w:vAlign w:val="bottom"/>
          </w:tcPr>
          <w:p>
            <w:pPr>
              <w:ind w:left="240"/>
              <w:spacing w:after="0"/>
              <w:rPr>
                <w:sz w:val="20"/>
                <w:szCs w:val="20"/>
                <w:color w:val="auto"/>
              </w:rPr>
            </w:pPr>
            <w:r>
              <w:rPr>
                <w:rFonts w:ascii="Arial" w:cs="Arial" w:eastAsia="Arial" w:hAnsi="Arial"/>
                <w:sz w:val="15"/>
                <w:szCs w:val="15"/>
                <w:color w:val="auto"/>
              </w:rPr>
              <w:t>($13)</w:t>
            </w:r>
          </w:p>
        </w:tc>
        <w:tc>
          <w:tcPr>
            <w:tcW w:w="780" w:type="dxa"/>
            <w:vAlign w:val="bottom"/>
          </w:tcPr>
          <w:p>
            <w:pPr>
              <w:jc w:val="right"/>
              <w:ind w:right="106"/>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4"/>
        </w:trPr>
        <w:tc>
          <w:tcPr>
            <w:tcW w:w="700" w:type="dxa"/>
            <w:vAlign w:val="bottom"/>
            <w:shd w:val="clear" w:color="auto" w:fill="DFE4EA"/>
          </w:tcPr>
          <w:p>
            <w:pPr>
              <w:jc w:val="right"/>
              <w:ind w:right="223"/>
              <w:spacing w:after="0"/>
              <w:rPr>
                <w:sz w:val="20"/>
                <w:szCs w:val="20"/>
                <w:color w:val="auto"/>
              </w:rPr>
            </w:pPr>
            <w:r>
              <w:rPr>
                <w:rFonts w:ascii="Arial" w:cs="Arial" w:eastAsia="Arial" w:hAnsi="Arial"/>
                <w:sz w:val="15"/>
                <w:szCs w:val="15"/>
                <w:color w:val="auto"/>
              </w:rPr>
              <w:t>2023</w:t>
            </w:r>
          </w:p>
        </w:tc>
        <w:tc>
          <w:tcPr>
            <w:tcW w:w="14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$3,176,413</w:t>
            </w:r>
          </w:p>
        </w:tc>
        <w:tc>
          <w:tcPr>
            <w:tcW w:w="1380" w:type="dxa"/>
            <w:vAlign w:val="bottom"/>
            <w:shd w:val="clear" w:color="auto" w:fill="DFE4EA"/>
          </w:tcPr>
          <w:p>
            <w:pPr>
              <w:jc w:val="right"/>
              <w:ind w:right="66"/>
              <w:spacing w:after="0"/>
              <w:rPr>
                <w:sz w:val="20"/>
                <w:szCs w:val="20"/>
                <w:color w:val="auto"/>
              </w:rPr>
            </w:pPr>
            <w:r>
              <w:rPr>
                <w:rFonts w:ascii="Arial" w:cs="Arial" w:eastAsia="Arial" w:hAnsi="Arial"/>
                <w:sz w:val="15"/>
                <w:szCs w:val="15"/>
                <w:color w:val="auto"/>
              </w:rPr>
              <w:t>$7,225,878</w:t>
            </w:r>
          </w:p>
        </w:tc>
        <w:tc>
          <w:tcPr>
            <w:tcW w:w="1400" w:type="dxa"/>
            <w:vAlign w:val="bottom"/>
            <w:shd w:val="clear" w:color="auto" w:fill="DFE4EA"/>
          </w:tcPr>
          <w:p>
            <w:pPr>
              <w:jc w:val="right"/>
              <w:ind w:right="106"/>
              <w:spacing w:after="0"/>
              <w:rPr>
                <w:sz w:val="20"/>
                <w:szCs w:val="20"/>
                <w:color w:val="auto"/>
              </w:rPr>
            </w:pPr>
            <w:r>
              <w:rPr>
                <w:rFonts w:ascii="Arial" w:cs="Arial" w:eastAsia="Arial" w:hAnsi="Arial"/>
                <w:sz w:val="15"/>
                <w:szCs w:val="15"/>
                <w:color w:val="auto"/>
              </w:rPr>
              <w:t>$1,204,664</w:t>
            </w:r>
          </w:p>
        </w:tc>
        <w:tc>
          <w:tcPr>
            <w:tcW w:w="1420" w:type="dxa"/>
            <w:vAlign w:val="bottom"/>
            <w:shd w:val="clear" w:color="auto" w:fill="DFE4EA"/>
          </w:tcPr>
          <w:p>
            <w:pPr>
              <w:jc w:val="right"/>
              <w:ind w:right="126"/>
              <w:spacing w:after="0"/>
              <w:rPr>
                <w:sz w:val="20"/>
                <w:szCs w:val="20"/>
                <w:color w:val="auto"/>
              </w:rPr>
            </w:pPr>
            <w:r>
              <w:rPr>
                <w:rFonts w:ascii="Arial" w:cs="Arial" w:eastAsia="Arial" w:hAnsi="Arial"/>
                <w:sz w:val="15"/>
                <w:szCs w:val="15"/>
                <w:color w:val="auto"/>
              </w:rPr>
              <w:t>$1,835,407</w:t>
            </w:r>
          </w:p>
        </w:tc>
        <w:tc>
          <w:tcPr>
            <w:tcW w:w="1100" w:type="dxa"/>
            <w:vAlign w:val="bottom"/>
            <w:shd w:val="clear" w:color="auto" w:fill="DFE4EA"/>
          </w:tcPr>
          <w:p>
            <w:pPr>
              <w:jc w:val="right"/>
              <w:ind w:right="186"/>
              <w:spacing w:after="0"/>
              <w:rPr>
                <w:sz w:val="20"/>
                <w:szCs w:val="20"/>
                <w:color w:val="auto"/>
              </w:rPr>
            </w:pPr>
            <w:r>
              <w:rPr>
                <w:rFonts w:ascii="Arial" w:cs="Arial" w:eastAsia="Arial" w:hAnsi="Arial"/>
                <w:sz w:val="15"/>
                <w:szCs w:val="15"/>
                <w:color w:val="auto"/>
              </w:rPr>
              <w:t>$76</w:t>
            </w:r>
          </w:p>
        </w:tc>
        <w:tc>
          <w:tcPr>
            <w:tcW w:w="1120" w:type="dxa"/>
            <w:vAlign w:val="bottom"/>
            <w:shd w:val="clear" w:color="auto" w:fill="DFE4EA"/>
          </w:tcPr>
          <w:p>
            <w:pPr>
              <w:jc w:val="right"/>
              <w:ind w:right="246"/>
              <w:spacing w:after="0"/>
              <w:rPr>
                <w:sz w:val="20"/>
                <w:szCs w:val="20"/>
                <w:color w:val="auto"/>
              </w:rPr>
            </w:pPr>
            <w:r>
              <w:rPr>
                <w:rFonts w:ascii="Arial" w:cs="Arial" w:eastAsia="Arial" w:hAnsi="Arial"/>
                <w:sz w:val="15"/>
                <w:szCs w:val="15"/>
                <w:color w:val="auto"/>
              </w:rPr>
              <w:t>$106</w:t>
            </w:r>
          </w:p>
        </w:tc>
        <w:tc>
          <w:tcPr>
            <w:tcW w:w="700" w:type="dxa"/>
            <w:vAlign w:val="bottom"/>
            <w:shd w:val="clear" w:color="auto" w:fill="DFE4EA"/>
          </w:tcPr>
          <w:p>
            <w:pPr>
              <w:ind w:left="240"/>
              <w:spacing w:after="0"/>
              <w:rPr>
                <w:sz w:val="20"/>
                <w:szCs w:val="20"/>
                <w:color w:val="auto"/>
              </w:rPr>
            </w:pPr>
            <w:r>
              <w:rPr>
                <w:rFonts w:ascii="Arial" w:cs="Arial" w:eastAsia="Arial" w:hAnsi="Arial"/>
                <w:sz w:val="15"/>
                <w:szCs w:val="15"/>
                <w:color w:val="auto"/>
              </w:rPr>
              <w:t>($31)</w:t>
            </w:r>
          </w:p>
        </w:tc>
        <w:tc>
          <w:tcPr>
            <w:tcW w:w="780" w:type="dxa"/>
            <w:vAlign w:val="bottom"/>
            <w:shd w:val="clear" w:color="auto" w:fill="DFE4EA"/>
          </w:tcPr>
          <w:p>
            <w:pPr>
              <w:jc w:val="right"/>
              <w:ind w:right="106"/>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16"/>
        </w:trPr>
        <w:tc>
          <w:tcPr>
            <w:tcW w:w="700" w:type="dxa"/>
            <w:vAlign w:val="bottom"/>
          </w:tcPr>
          <w:p>
            <w:pPr>
              <w:jc w:val="right"/>
              <w:ind w:right="223"/>
              <w:spacing w:after="0"/>
              <w:rPr>
                <w:sz w:val="20"/>
                <w:szCs w:val="20"/>
                <w:color w:val="auto"/>
              </w:rPr>
            </w:pPr>
            <w:r>
              <w:rPr>
                <w:rFonts w:ascii="Arial" w:cs="Arial" w:eastAsia="Arial" w:hAnsi="Arial"/>
                <w:sz w:val="15"/>
                <w:szCs w:val="15"/>
                <w:color w:val="auto"/>
              </w:rPr>
              <w:t>2022</w:t>
            </w:r>
          </w:p>
        </w:tc>
        <w:tc>
          <w:tcPr>
            <w:tcW w:w="1420" w:type="dxa"/>
            <w:vAlign w:val="bottom"/>
          </w:tcPr>
          <w:p>
            <w:pPr>
              <w:jc w:val="center"/>
              <w:spacing w:after="0"/>
              <w:rPr>
                <w:sz w:val="20"/>
                <w:szCs w:val="20"/>
                <w:color w:val="auto"/>
              </w:rPr>
            </w:pPr>
            <w:r>
              <w:rPr>
                <w:rFonts w:ascii="Arial" w:cs="Arial" w:eastAsia="Arial" w:hAnsi="Arial"/>
                <w:sz w:val="15"/>
                <w:szCs w:val="15"/>
                <w:color w:val="auto"/>
              </w:rPr>
              <w:t>$7,216,340</w:t>
            </w:r>
          </w:p>
        </w:tc>
        <w:tc>
          <w:tcPr>
            <w:tcW w:w="1380" w:type="dxa"/>
            <w:vAlign w:val="bottom"/>
          </w:tcPr>
          <w:p>
            <w:pPr>
              <w:jc w:val="right"/>
              <w:ind w:right="66"/>
              <w:spacing w:after="0"/>
              <w:rPr>
                <w:sz w:val="20"/>
                <w:szCs w:val="20"/>
                <w:color w:val="auto"/>
              </w:rPr>
            </w:pPr>
            <w:r>
              <w:rPr>
                <w:rFonts w:ascii="Arial" w:cs="Arial" w:eastAsia="Arial" w:hAnsi="Arial"/>
                <w:sz w:val="15"/>
                <w:szCs w:val="15"/>
                <w:color w:val="auto"/>
              </w:rPr>
              <w:t>$4,718,496</w:t>
            </w:r>
          </w:p>
        </w:tc>
        <w:tc>
          <w:tcPr>
            <w:tcW w:w="1400" w:type="dxa"/>
            <w:vAlign w:val="bottom"/>
          </w:tcPr>
          <w:p>
            <w:pPr>
              <w:jc w:val="right"/>
              <w:ind w:right="106"/>
              <w:spacing w:after="0"/>
              <w:rPr>
                <w:sz w:val="20"/>
                <w:szCs w:val="20"/>
                <w:color w:val="auto"/>
              </w:rPr>
            </w:pPr>
            <w:r>
              <w:rPr>
                <w:rFonts w:ascii="Arial" w:cs="Arial" w:eastAsia="Arial" w:hAnsi="Arial"/>
                <w:sz w:val="15"/>
                <w:szCs w:val="15"/>
                <w:color w:val="auto"/>
              </w:rPr>
              <w:t>$1,796,100</w:t>
            </w:r>
          </w:p>
        </w:tc>
        <w:tc>
          <w:tcPr>
            <w:tcW w:w="1420" w:type="dxa"/>
            <w:vAlign w:val="bottom"/>
          </w:tcPr>
          <w:p>
            <w:pPr>
              <w:jc w:val="right"/>
              <w:ind w:right="126"/>
              <w:spacing w:after="0"/>
              <w:rPr>
                <w:sz w:val="20"/>
                <w:szCs w:val="20"/>
                <w:color w:val="auto"/>
              </w:rPr>
            </w:pPr>
            <w:r>
              <w:rPr>
                <w:rFonts w:ascii="Arial" w:cs="Arial" w:eastAsia="Arial" w:hAnsi="Arial"/>
                <w:sz w:val="15"/>
                <w:szCs w:val="15"/>
                <w:color w:val="auto"/>
              </w:rPr>
              <w:t>$1,352,869</w:t>
            </w:r>
          </w:p>
        </w:tc>
        <w:tc>
          <w:tcPr>
            <w:tcW w:w="1100" w:type="dxa"/>
            <w:vAlign w:val="bottom"/>
          </w:tcPr>
          <w:p>
            <w:pPr>
              <w:jc w:val="right"/>
              <w:ind w:right="186"/>
              <w:spacing w:after="0"/>
              <w:rPr>
                <w:sz w:val="20"/>
                <w:szCs w:val="20"/>
                <w:color w:val="auto"/>
              </w:rPr>
            </w:pPr>
            <w:r>
              <w:rPr>
                <w:rFonts w:ascii="Arial" w:cs="Arial" w:eastAsia="Arial" w:hAnsi="Arial"/>
                <w:sz w:val="15"/>
                <w:szCs w:val="15"/>
                <w:color w:val="auto"/>
              </w:rPr>
              <w:t>$51</w:t>
            </w:r>
          </w:p>
        </w:tc>
        <w:tc>
          <w:tcPr>
            <w:tcW w:w="1120" w:type="dxa"/>
            <w:vAlign w:val="bottom"/>
          </w:tcPr>
          <w:p>
            <w:pPr>
              <w:jc w:val="right"/>
              <w:ind w:right="246"/>
              <w:spacing w:after="0"/>
              <w:rPr>
                <w:sz w:val="20"/>
                <w:szCs w:val="20"/>
                <w:color w:val="auto"/>
              </w:rPr>
            </w:pPr>
            <w:r>
              <w:rPr>
                <w:rFonts w:ascii="Arial" w:cs="Arial" w:eastAsia="Arial" w:hAnsi="Arial"/>
                <w:sz w:val="15"/>
                <w:szCs w:val="15"/>
                <w:color w:val="auto"/>
              </w:rPr>
              <w:t>$97</w:t>
            </w:r>
          </w:p>
        </w:tc>
        <w:tc>
          <w:tcPr>
            <w:tcW w:w="700" w:type="dxa"/>
            <w:vAlign w:val="bottom"/>
          </w:tcPr>
          <w:p>
            <w:pPr>
              <w:ind w:left="240"/>
              <w:spacing w:after="0"/>
              <w:rPr>
                <w:sz w:val="20"/>
                <w:szCs w:val="20"/>
                <w:color w:val="auto"/>
              </w:rPr>
            </w:pPr>
            <w:r>
              <w:rPr>
                <w:rFonts w:ascii="Arial" w:cs="Arial" w:eastAsia="Arial" w:hAnsi="Arial"/>
                <w:sz w:val="15"/>
                <w:szCs w:val="15"/>
                <w:color w:val="auto"/>
              </w:rPr>
              <w:t>($19)</w:t>
            </w:r>
          </w:p>
        </w:tc>
        <w:tc>
          <w:tcPr>
            <w:tcW w:w="780" w:type="dxa"/>
            <w:vAlign w:val="bottom"/>
          </w:tcPr>
          <w:p>
            <w:pPr>
              <w:jc w:val="right"/>
              <w:ind w:right="106"/>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4"/>
        </w:trPr>
        <w:tc>
          <w:tcPr>
            <w:tcW w:w="700" w:type="dxa"/>
            <w:vAlign w:val="bottom"/>
            <w:shd w:val="clear" w:color="auto" w:fill="DFE4EA"/>
          </w:tcPr>
          <w:p>
            <w:pPr>
              <w:jc w:val="right"/>
              <w:ind w:right="223"/>
              <w:spacing w:after="0"/>
              <w:rPr>
                <w:sz w:val="20"/>
                <w:szCs w:val="20"/>
                <w:color w:val="auto"/>
              </w:rPr>
            </w:pPr>
            <w:r>
              <w:rPr>
                <w:rFonts w:ascii="Arial" w:cs="Arial" w:eastAsia="Arial" w:hAnsi="Arial"/>
                <w:sz w:val="15"/>
                <w:szCs w:val="15"/>
                <w:color w:val="auto"/>
              </w:rPr>
              <w:t>2021</w:t>
            </w:r>
          </w:p>
        </w:tc>
        <w:tc>
          <w:tcPr>
            <w:tcW w:w="142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$4,628,566</w:t>
            </w:r>
          </w:p>
        </w:tc>
        <w:tc>
          <w:tcPr>
            <w:tcW w:w="1380" w:type="dxa"/>
            <w:vAlign w:val="bottom"/>
            <w:shd w:val="clear" w:color="auto" w:fill="DFE4EA"/>
          </w:tcPr>
          <w:p>
            <w:pPr>
              <w:jc w:val="right"/>
              <w:ind w:right="66"/>
              <w:spacing w:after="0"/>
              <w:rPr>
                <w:sz w:val="20"/>
                <w:szCs w:val="20"/>
                <w:color w:val="auto"/>
              </w:rPr>
            </w:pPr>
            <w:r>
              <w:rPr>
                <w:rFonts w:ascii="Arial" w:cs="Arial" w:eastAsia="Arial" w:hAnsi="Arial"/>
                <w:sz w:val="15"/>
                <w:szCs w:val="15"/>
                <w:color w:val="auto"/>
              </w:rPr>
              <w:t>$3,712,538</w:t>
            </w:r>
          </w:p>
        </w:tc>
        <w:tc>
          <w:tcPr>
            <w:tcW w:w="1400" w:type="dxa"/>
            <w:vAlign w:val="bottom"/>
            <w:shd w:val="clear" w:color="auto" w:fill="DFE4EA"/>
          </w:tcPr>
          <w:p>
            <w:pPr>
              <w:jc w:val="right"/>
              <w:ind w:right="106"/>
              <w:spacing w:after="0"/>
              <w:rPr>
                <w:sz w:val="20"/>
                <w:szCs w:val="20"/>
                <w:color w:val="auto"/>
              </w:rPr>
            </w:pPr>
            <w:r>
              <w:rPr>
                <w:rFonts w:ascii="Arial" w:cs="Arial" w:eastAsia="Arial" w:hAnsi="Arial"/>
                <w:sz w:val="15"/>
                <w:szCs w:val="15"/>
                <w:color w:val="auto"/>
              </w:rPr>
              <w:t>$1,286,725</w:t>
            </w:r>
          </w:p>
        </w:tc>
        <w:tc>
          <w:tcPr>
            <w:tcW w:w="1420" w:type="dxa"/>
            <w:vAlign w:val="bottom"/>
            <w:shd w:val="clear" w:color="auto" w:fill="DFE4EA"/>
          </w:tcPr>
          <w:p>
            <w:pPr>
              <w:jc w:val="right"/>
              <w:ind w:right="126"/>
              <w:spacing w:after="0"/>
              <w:rPr>
                <w:sz w:val="20"/>
                <w:szCs w:val="20"/>
                <w:color w:val="auto"/>
              </w:rPr>
            </w:pPr>
            <w:r>
              <w:rPr>
                <w:rFonts w:ascii="Arial" w:cs="Arial" w:eastAsia="Arial" w:hAnsi="Arial"/>
                <w:sz w:val="15"/>
                <w:szCs w:val="15"/>
                <w:color w:val="auto"/>
              </w:rPr>
              <w:t>$1,108,935</w:t>
            </w:r>
          </w:p>
        </w:tc>
        <w:tc>
          <w:tcPr>
            <w:tcW w:w="1100" w:type="dxa"/>
            <w:vAlign w:val="bottom"/>
            <w:shd w:val="clear" w:color="auto" w:fill="DFE4EA"/>
          </w:tcPr>
          <w:p>
            <w:pPr>
              <w:jc w:val="right"/>
              <w:ind w:right="186"/>
              <w:spacing w:after="0"/>
              <w:rPr>
                <w:sz w:val="20"/>
                <w:szCs w:val="20"/>
                <w:color w:val="auto"/>
              </w:rPr>
            </w:pPr>
            <w:r>
              <w:rPr>
                <w:rFonts w:ascii="Arial" w:cs="Arial" w:eastAsia="Arial" w:hAnsi="Arial"/>
                <w:sz w:val="15"/>
                <w:szCs w:val="15"/>
                <w:color w:val="auto"/>
              </w:rPr>
              <w:t>$86</w:t>
            </w:r>
          </w:p>
        </w:tc>
        <w:tc>
          <w:tcPr>
            <w:tcW w:w="1120" w:type="dxa"/>
            <w:vAlign w:val="bottom"/>
            <w:shd w:val="clear" w:color="auto" w:fill="DFE4EA"/>
          </w:tcPr>
          <w:p>
            <w:pPr>
              <w:jc w:val="right"/>
              <w:ind w:right="246"/>
              <w:spacing w:after="0"/>
              <w:rPr>
                <w:sz w:val="20"/>
                <w:szCs w:val="20"/>
                <w:color w:val="auto"/>
              </w:rPr>
            </w:pPr>
            <w:r>
              <w:rPr>
                <w:rFonts w:ascii="Arial" w:cs="Arial" w:eastAsia="Arial" w:hAnsi="Arial"/>
                <w:sz w:val="15"/>
                <w:szCs w:val="15"/>
                <w:color w:val="auto"/>
              </w:rPr>
              <w:t>$119</w:t>
            </w:r>
          </w:p>
        </w:tc>
        <w:tc>
          <w:tcPr>
            <w:tcW w:w="700" w:type="dxa"/>
            <w:vAlign w:val="bottom"/>
            <w:shd w:val="clear" w:color="auto" w:fill="DFE4EA"/>
          </w:tcPr>
          <w:p>
            <w:pPr>
              <w:ind w:left="240"/>
              <w:spacing w:after="0"/>
              <w:rPr>
                <w:sz w:val="20"/>
                <w:szCs w:val="20"/>
                <w:color w:val="auto"/>
              </w:rPr>
            </w:pPr>
            <w:r>
              <w:rPr>
                <w:rFonts w:ascii="Arial" w:cs="Arial" w:eastAsia="Arial" w:hAnsi="Arial"/>
                <w:sz w:val="15"/>
                <w:szCs w:val="15"/>
                <w:color w:val="auto"/>
              </w:rPr>
              <w:t>($15)</w:t>
            </w:r>
          </w:p>
        </w:tc>
        <w:tc>
          <w:tcPr>
            <w:tcW w:w="780" w:type="dxa"/>
            <w:vAlign w:val="bottom"/>
            <w:shd w:val="clear" w:color="auto" w:fill="DFE4EA"/>
          </w:tcPr>
          <w:p>
            <w:pPr>
              <w:jc w:val="right"/>
              <w:ind w:right="106"/>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20" w:hanging="219"/>
        <w:spacing w:after="0"/>
        <w:tabs>
          <w:tab w:leader="none" w:pos="22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Mr. Mackin served as our only PEO for each year.</w:t>
      </w:r>
    </w:p>
    <w:p>
      <w:pPr>
        <w:spacing w:after="0" w:line="106"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Our Non-PEO NEOs in 2025 and 2024 were Messrs. Berry, Davis, and Stanton and Ms. Holloway. Our Non-PEO NEOs in 2023 were Messrs. Lee, Berry, and Davis and Mses. Horton and Holloway. Our Non-PEO NEOs in 2022 and 2021 were Messrs. Lee, Davis, and Stanton, and Ms. Holloway.</w:t>
      </w:r>
    </w:p>
    <w:p>
      <w:pPr>
        <w:spacing w:after="0" w:line="118" w:lineRule="exact"/>
        <w:rPr>
          <w:rFonts w:ascii="Arial" w:cs="Arial" w:eastAsia="Arial" w:hAnsi="Arial"/>
          <w:sz w:val="22"/>
          <w:szCs w:val="22"/>
          <w:color w:val="auto"/>
          <w:vertAlign w:val="superscript"/>
        </w:rPr>
      </w:pPr>
    </w:p>
    <w:p>
      <w:pPr>
        <w:ind w:left="220" w:hanging="219"/>
        <w:spacing w:after="0" w:line="200" w:lineRule="auto"/>
        <w:tabs>
          <w:tab w:leader="none" w:pos="22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Stockholder returns reflect $100 invested as of market close on December 31, 2020, the final trading day of fiscal 2020; Index Stockholder Return reflects S&amp;P 500 Health Care Equipment Index.</w:t>
      </w:r>
    </w:p>
    <w:p>
      <w:pPr>
        <w:spacing w:after="0" w:line="118" w:lineRule="exact"/>
        <w:rPr>
          <w:rFonts w:ascii="Arial" w:cs="Arial" w:eastAsia="Arial" w:hAnsi="Arial"/>
          <w:sz w:val="22"/>
          <w:szCs w:val="22"/>
          <w:color w:val="auto"/>
          <w:vertAlign w:val="superscript"/>
        </w:rPr>
      </w:pPr>
    </w:p>
    <w:p>
      <w:pPr>
        <w:jc w:val="both"/>
        <w:ind w:left="220" w:hanging="219"/>
        <w:spacing w:after="0" w:line="230" w:lineRule="auto"/>
        <w:tabs>
          <w:tab w:leader="none" w:pos="22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In the Company’s assessment, for the 2025 fiscal year, AORT revenue growth represents the most important financial performance measure that is not otherwise required to be disclosed in the table that we used to link “compensation actually paid” to our NEOs, including our PEO, to our performance. AORT revenue growth is an adjusted constant currency revenue measure calculated by adjusting for the exchange rate effect on GAAP revenues. We define exchange rate effect as the year-over-year impact of foreign currency movements using current period foreign currency rates applied to prior period transactional currency amounts. As discussed in the Compensation Discussion and Analysis, constant currency revenue growth as calculated in incentive plans may reflect additional adjustments to either the baseline (prior year revenue) or current year results, to exclude the impact of discontinued businesses and other unplanned events that were outside of management’s control. In 2023, we excluded the impact of the Company’s Cardiogenesis business. In 2022, we adjusted to exclude PerClot sales that occurred in 2022 and 2021. In 2021, we measured growth in the second half of the year by comparing to the second half of 2019 rather than 2020.</w:t>
      </w:r>
    </w:p>
    <w:p>
      <w:pPr>
        <w:spacing w:after="0" w:line="98" w:lineRule="exact"/>
        <w:rPr>
          <w:sz w:val="20"/>
          <w:szCs w:val="20"/>
          <w:color w:val="auto"/>
        </w:rPr>
      </w:pPr>
    </w:p>
    <w:p>
      <w:pPr>
        <w:ind w:firstLine="334"/>
        <w:spacing w:after="0" w:line="285" w:lineRule="auto"/>
        <w:rPr>
          <w:sz w:val="20"/>
          <w:szCs w:val="20"/>
          <w:color w:val="auto"/>
        </w:rPr>
      </w:pPr>
      <w:r>
        <w:rPr>
          <w:rFonts w:ascii="Arial" w:cs="Arial" w:eastAsia="Arial" w:hAnsi="Arial"/>
          <w:sz w:val="15"/>
          <w:szCs w:val="15"/>
          <w:color w:val="auto"/>
        </w:rPr>
        <w:t>The following table sets forth a reconciliation from the Summary Compensation Table (“SCT”) to Compensation Actually Paid (“CAP”) to our PEO and for the average paid to our Non-PEO NEOs for each fiscal year.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Change in</w:t>
            </w:r>
          </w:p>
        </w:tc>
        <w:tc>
          <w:tcPr>
            <w:tcW w:w="1300" w:type="dxa"/>
            <w:vAlign w:val="bottom"/>
          </w:tcPr>
          <w:p>
            <w:pPr>
              <w:spacing w:after="0"/>
              <w:rPr>
                <w:sz w:val="15"/>
                <w:szCs w:val="15"/>
                <w:color w:val="auto"/>
              </w:rPr>
            </w:pPr>
          </w:p>
        </w:tc>
      </w:tr>
      <w:tr>
        <w:trPr>
          <w:trHeight w:val="174"/>
        </w:trPr>
        <w:tc>
          <w:tcPr>
            <w:tcW w:w="1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Less Sum of</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99"/>
              </w:rPr>
              <w:t>Value of</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rPr>
              <w:t>Change in</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Value of Prior</w:t>
            </w:r>
          </w:p>
        </w:tc>
        <w:tc>
          <w:tcPr>
            <w:tcW w:w="1300" w:type="dxa"/>
            <w:vAlign w:val="bottom"/>
          </w:tcPr>
          <w:p>
            <w:pPr>
              <w:spacing w:after="0"/>
              <w:rPr>
                <w:sz w:val="15"/>
                <w:szCs w:val="15"/>
                <w:color w:val="auto"/>
              </w:rPr>
            </w:pPr>
          </w:p>
        </w:tc>
      </w:tr>
      <w:tr>
        <w:trPr>
          <w:trHeight w:val="174"/>
        </w:trPr>
        <w:tc>
          <w:tcPr>
            <w:tcW w:w="1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Stock and</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99"/>
              </w:rPr>
              <w:t>Current</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rPr>
              <w:t>Value of</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Year Awards</w:t>
            </w:r>
          </w:p>
        </w:tc>
        <w:tc>
          <w:tcPr>
            <w:tcW w:w="1300" w:type="dxa"/>
            <w:vAlign w:val="bottom"/>
          </w:tcPr>
          <w:p>
            <w:pPr>
              <w:spacing w:after="0"/>
              <w:rPr>
                <w:sz w:val="15"/>
                <w:szCs w:val="15"/>
                <w:color w:val="auto"/>
              </w:rPr>
            </w:pPr>
          </w:p>
        </w:tc>
      </w:tr>
      <w:tr>
        <w:trPr>
          <w:trHeight w:val="174"/>
        </w:trPr>
        <w:tc>
          <w:tcPr>
            <w:tcW w:w="1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Option Award</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Year Equity</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rPr>
              <w:t>Unvested Prior</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That Vested</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Total</w:t>
            </w:r>
          </w:p>
        </w:tc>
      </w:tr>
      <w:tr>
        <w:trPr>
          <w:trHeight w:val="174"/>
        </w:trPr>
        <w:tc>
          <w:tcPr>
            <w:tcW w:w="1820" w:type="dxa"/>
            <w:vAlign w:val="bottom"/>
          </w:tcPr>
          <w:p>
            <w:pPr>
              <w:spacing w:after="0"/>
              <w:rPr>
                <w:sz w:val="15"/>
                <w:szCs w:val="15"/>
                <w:color w:val="auto"/>
              </w:rPr>
            </w:pPr>
          </w:p>
        </w:tc>
        <w:tc>
          <w:tcPr>
            <w:tcW w:w="1560" w:type="dxa"/>
            <w:vAlign w:val="bottom"/>
          </w:tcPr>
          <w:p>
            <w:pPr>
              <w:jc w:val="center"/>
              <w:ind w:left="305"/>
              <w:spacing w:after="0"/>
              <w:rPr>
                <w:sz w:val="20"/>
                <w:szCs w:val="20"/>
                <w:color w:val="auto"/>
              </w:rPr>
            </w:pPr>
            <w:r>
              <w:rPr>
                <w:rFonts w:ascii="Arial" w:cs="Arial" w:eastAsia="Arial" w:hAnsi="Arial"/>
                <w:sz w:val="15"/>
                <w:szCs w:val="15"/>
                <w:b w:val="1"/>
                <w:bCs w:val="1"/>
                <w:color w:val="auto"/>
                <w:w w:val="99"/>
              </w:rPr>
              <w:t>SCT</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Values from</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Awards at</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rPr>
              <w:t>Year Awards at</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In Current</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Compensation</w:t>
            </w:r>
          </w:p>
        </w:tc>
      </w:tr>
      <w:tr>
        <w:trPr>
          <w:trHeight w:val="191"/>
        </w:trPr>
        <w:tc>
          <w:tcPr>
            <w:tcW w:w="182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Year</w:t>
            </w:r>
          </w:p>
        </w:tc>
        <w:tc>
          <w:tcPr>
            <w:tcW w:w="1560" w:type="dxa"/>
            <w:vAlign w:val="bottom"/>
            <w:tcBorders>
              <w:bottom w:val="single" w:sz="8" w:color="auto"/>
            </w:tcBorders>
          </w:tcPr>
          <w:p>
            <w:pPr>
              <w:jc w:val="center"/>
              <w:ind w:left="285"/>
              <w:spacing w:after="0"/>
              <w:rPr>
                <w:sz w:val="20"/>
                <w:szCs w:val="20"/>
                <w:color w:val="auto"/>
              </w:rPr>
            </w:pPr>
            <w:r>
              <w:rPr>
                <w:rFonts w:ascii="Arial" w:cs="Arial" w:eastAsia="Arial" w:hAnsi="Arial"/>
                <w:sz w:val="15"/>
                <w:szCs w:val="15"/>
                <w:b w:val="1"/>
                <w:bCs w:val="1"/>
                <w:color w:val="auto"/>
              </w:rPr>
              <w:t>Total</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SCT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12/31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12/31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Year</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Actually Paid</w:t>
            </w:r>
          </w:p>
        </w:tc>
      </w:tr>
      <w:tr>
        <w:trPr>
          <w:trHeight w:val="200"/>
        </w:trPr>
        <w:tc>
          <w:tcPr>
            <w:tcW w:w="1820" w:type="dxa"/>
            <w:vAlign w:val="bottom"/>
          </w:tcPr>
          <w:p>
            <w:pPr>
              <w:spacing w:after="0"/>
              <w:rPr>
                <w:sz w:val="17"/>
                <w:szCs w:val="17"/>
                <w:color w:val="auto"/>
              </w:rPr>
            </w:pPr>
          </w:p>
        </w:tc>
        <w:tc>
          <w:tcPr>
            <w:tcW w:w="1560" w:type="dxa"/>
            <w:vAlign w:val="bottom"/>
          </w:tcPr>
          <w:p>
            <w:pPr>
              <w:jc w:val="center"/>
              <w:ind w:left="325"/>
              <w:spacing w:after="0"/>
              <w:rPr>
                <w:sz w:val="20"/>
                <w:szCs w:val="20"/>
                <w:color w:val="auto"/>
              </w:rPr>
            </w:pPr>
            <w:r>
              <w:rPr>
                <w:rFonts w:ascii="Arial" w:cs="Arial" w:eastAsia="Arial" w:hAnsi="Arial"/>
                <w:sz w:val="12"/>
                <w:szCs w:val="12"/>
                <w:b w:val="1"/>
                <w:bCs w:val="1"/>
                <w:color w:val="auto"/>
              </w:rPr>
              <w:t>​</w:t>
            </w: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w w:val="95"/>
              </w:rPr>
              <w:t>(e)</w:t>
            </w: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rPr>
              <w:t>(f)</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rPr>
              <w:t>(g)</w:t>
            </w: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(h)</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rPr>
              <w:t>(i)</w:t>
            </w:r>
          </w:p>
        </w:tc>
      </w:tr>
      <w:tr>
        <w:trPr>
          <w:trHeight w:val="221"/>
        </w:trPr>
        <w:tc>
          <w:tcPr>
            <w:tcW w:w="1820" w:type="dxa"/>
            <w:vAlign w:val="bottom"/>
            <w:shd w:val="clear" w:color="auto" w:fill="DFE4EA"/>
          </w:tcPr>
          <w:p>
            <w:pPr>
              <w:jc w:val="right"/>
              <w:ind w:right="1343"/>
              <w:spacing w:after="0"/>
              <w:rPr>
                <w:sz w:val="20"/>
                <w:szCs w:val="20"/>
                <w:color w:val="auto"/>
              </w:rPr>
            </w:pPr>
            <w:r>
              <w:rPr>
                <w:rFonts w:ascii="Arial" w:cs="Arial" w:eastAsia="Arial" w:hAnsi="Arial"/>
                <w:sz w:val="15"/>
                <w:szCs w:val="15"/>
                <w:color w:val="auto"/>
              </w:rPr>
              <w:t>2025</w:t>
            </w:r>
          </w:p>
        </w:tc>
        <w:tc>
          <w:tcPr>
            <w:tcW w:w="1560" w:type="dxa"/>
            <w:vAlign w:val="bottom"/>
            <w:shd w:val="clear" w:color="auto" w:fill="DFE4EA"/>
          </w:tcPr>
          <w:p>
            <w:pPr>
              <w:jc w:val="center"/>
              <w:ind w:left="305"/>
              <w:spacing w:after="0"/>
              <w:rPr>
                <w:sz w:val="20"/>
                <w:szCs w:val="20"/>
                <w:color w:val="auto"/>
              </w:rPr>
            </w:pPr>
            <w:r>
              <w:rPr>
                <w:rFonts w:ascii="Arial" w:cs="Arial" w:eastAsia="Arial" w:hAnsi="Arial"/>
                <w:sz w:val="15"/>
                <w:szCs w:val="15"/>
                <w:color w:val="auto"/>
              </w:rPr>
              <w:t>$6,883,108</w:t>
            </w:r>
          </w:p>
        </w:tc>
        <w:tc>
          <w:tcPr>
            <w:tcW w:w="1460" w:type="dxa"/>
            <w:vAlign w:val="bottom"/>
            <w:shd w:val="clear" w:color="auto" w:fill="DFE4EA"/>
          </w:tcPr>
          <w:p>
            <w:pPr>
              <w:jc w:val="right"/>
              <w:ind w:right="84"/>
              <w:spacing w:after="0"/>
              <w:rPr>
                <w:sz w:val="20"/>
                <w:szCs w:val="20"/>
                <w:color w:val="auto"/>
              </w:rPr>
            </w:pPr>
            <w:r>
              <w:rPr>
                <w:rFonts w:ascii="Arial" w:cs="Arial" w:eastAsia="Arial" w:hAnsi="Arial"/>
                <w:sz w:val="15"/>
                <w:szCs w:val="15"/>
                <w:color w:val="auto"/>
              </w:rPr>
              <w:t>($5,006,990)</w:t>
            </w:r>
          </w:p>
        </w:tc>
        <w:tc>
          <w:tcPr>
            <w:tcW w:w="1240" w:type="dxa"/>
            <w:vAlign w:val="bottom"/>
            <w:shd w:val="clear" w:color="auto" w:fill="DFE4EA"/>
          </w:tcPr>
          <w:p>
            <w:pPr>
              <w:jc w:val="right"/>
              <w:ind w:right="44"/>
              <w:spacing w:after="0"/>
              <w:rPr>
                <w:sz w:val="20"/>
                <w:szCs w:val="20"/>
                <w:color w:val="auto"/>
              </w:rPr>
            </w:pPr>
            <w:r>
              <w:rPr>
                <w:rFonts w:ascii="Arial" w:cs="Arial" w:eastAsia="Arial" w:hAnsi="Arial"/>
                <w:sz w:val="15"/>
                <w:szCs w:val="15"/>
                <w:color w:val="auto"/>
              </w:rPr>
              <w:t>$9,827,678</w:t>
            </w:r>
          </w:p>
        </w:tc>
        <w:tc>
          <w:tcPr>
            <w:tcW w:w="1360" w:type="dxa"/>
            <w:vAlign w:val="bottom"/>
            <w:shd w:val="clear" w:color="auto" w:fill="DFE4EA"/>
          </w:tcPr>
          <w:p>
            <w:pPr>
              <w:jc w:val="right"/>
              <w:ind w:right="104"/>
              <w:spacing w:after="0"/>
              <w:rPr>
                <w:sz w:val="20"/>
                <w:szCs w:val="20"/>
                <w:color w:val="auto"/>
              </w:rPr>
            </w:pPr>
            <w:r>
              <w:rPr>
                <w:rFonts w:ascii="Arial" w:cs="Arial" w:eastAsia="Arial" w:hAnsi="Arial"/>
                <w:sz w:val="15"/>
                <w:szCs w:val="15"/>
                <w:color w:val="auto"/>
              </w:rPr>
              <w:t>$2,572,199</w:t>
            </w:r>
          </w:p>
        </w:tc>
        <w:tc>
          <w:tcPr>
            <w:tcW w:w="1280" w:type="dxa"/>
            <w:vAlign w:val="bottom"/>
            <w:shd w:val="clear" w:color="auto" w:fill="DFE4EA"/>
          </w:tcPr>
          <w:p>
            <w:pPr>
              <w:jc w:val="right"/>
              <w:ind w:right="64"/>
              <w:spacing w:after="0"/>
              <w:rPr>
                <w:sz w:val="20"/>
                <w:szCs w:val="20"/>
                <w:color w:val="auto"/>
              </w:rPr>
            </w:pPr>
            <w:r>
              <w:rPr>
                <w:rFonts w:ascii="Arial" w:cs="Arial" w:eastAsia="Arial" w:hAnsi="Arial"/>
                <w:sz w:val="15"/>
                <w:szCs w:val="15"/>
                <w:color w:val="auto"/>
              </w:rPr>
              <w:t>$3,165,072</w:t>
            </w:r>
          </w:p>
        </w:tc>
        <w:tc>
          <w:tcPr>
            <w:tcW w:w="1300" w:type="dxa"/>
            <w:vAlign w:val="bottom"/>
            <w:shd w:val="clear" w:color="auto" w:fill="DFE4EA"/>
          </w:tcPr>
          <w:p>
            <w:pPr>
              <w:jc w:val="right"/>
              <w:ind w:right="24"/>
              <w:spacing w:after="0"/>
              <w:rPr>
                <w:sz w:val="20"/>
                <w:szCs w:val="20"/>
                <w:color w:val="auto"/>
              </w:rPr>
            </w:pPr>
            <w:r>
              <w:rPr>
                <w:rFonts w:ascii="Arial" w:cs="Arial" w:eastAsia="Arial" w:hAnsi="Arial"/>
                <w:sz w:val="15"/>
                <w:szCs w:val="15"/>
                <w:color w:val="auto"/>
              </w:rPr>
              <w:t>$17,441,067</w:t>
            </w:r>
          </w:p>
        </w:tc>
      </w:tr>
      <w:tr>
        <w:trPr>
          <w:trHeight w:val="216"/>
        </w:trPr>
        <w:tc>
          <w:tcPr>
            <w:tcW w:w="1820" w:type="dxa"/>
            <w:vAlign w:val="bottom"/>
          </w:tcPr>
          <w:p>
            <w:pPr>
              <w:jc w:val="right"/>
              <w:ind w:right="1343"/>
              <w:spacing w:after="0"/>
              <w:rPr>
                <w:sz w:val="20"/>
                <w:szCs w:val="20"/>
                <w:color w:val="auto"/>
              </w:rPr>
            </w:pPr>
            <w:r>
              <w:rPr>
                <w:rFonts w:ascii="Arial" w:cs="Arial" w:eastAsia="Arial" w:hAnsi="Arial"/>
                <w:sz w:val="15"/>
                <w:szCs w:val="15"/>
                <w:color w:val="auto"/>
              </w:rPr>
              <w:t>2024</w:t>
            </w:r>
          </w:p>
        </w:tc>
        <w:tc>
          <w:tcPr>
            <w:tcW w:w="1560" w:type="dxa"/>
            <w:vAlign w:val="bottom"/>
          </w:tcPr>
          <w:p>
            <w:pPr>
              <w:jc w:val="center"/>
              <w:ind w:left="285"/>
              <w:spacing w:after="0"/>
              <w:rPr>
                <w:sz w:val="20"/>
                <w:szCs w:val="20"/>
                <w:color w:val="auto"/>
              </w:rPr>
            </w:pPr>
            <w:r>
              <w:rPr>
                <w:rFonts w:ascii="Arial" w:cs="Arial" w:eastAsia="Arial" w:hAnsi="Arial"/>
                <w:sz w:val="15"/>
                <w:szCs w:val="15"/>
                <w:color w:val="auto"/>
              </w:rPr>
              <w:t>$5,511,940</w:t>
            </w:r>
          </w:p>
        </w:tc>
        <w:tc>
          <w:tcPr>
            <w:tcW w:w="1460" w:type="dxa"/>
            <w:vAlign w:val="bottom"/>
          </w:tcPr>
          <w:p>
            <w:pPr>
              <w:jc w:val="right"/>
              <w:ind w:right="84"/>
              <w:spacing w:after="0"/>
              <w:rPr>
                <w:sz w:val="20"/>
                <w:szCs w:val="20"/>
                <w:color w:val="auto"/>
              </w:rPr>
            </w:pPr>
            <w:r>
              <w:rPr>
                <w:rFonts w:ascii="Arial" w:cs="Arial" w:eastAsia="Arial" w:hAnsi="Arial"/>
                <w:sz w:val="15"/>
                <w:szCs w:val="15"/>
                <w:color w:val="auto"/>
              </w:rPr>
              <w:t>($3,608,101)</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$5,852,430</w:t>
            </w:r>
          </w:p>
        </w:tc>
        <w:tc>
          <w:tcPr>
            <w:tcW w:w="1360" w:type="dxa"/>
            <w:vAlign w:val="bottom"/>
          </w:tcPr>
          <w:p>
            <w:pPr>
              <w:jc w:val="right"/>
              <w:ind w:right="104"/>
              <w:spacing w:after="0"/>
              <w:rPr>
                <w:sz w:val="20"/>
                <w:szCs w:val="20"/>
                <w:color w:val="auto"/>
              </w:rPr>
            </w:pPr>
            <w:r>
              <w:rPr>
                <w:rFonts w:ascii="Arial" w:cs="Arial" w:eastAsia="Arial" w:hAnsi="Arial"/>
                <w:sz w:val="15"/>
                <w:szCs w:val="15"/>
                <w:color w:val="auto"/>
              </w:rPr>
              <w:t>$3,370,222</w:t>
            </w:r>
          </w:p>
        </w:tc>
        <w:tc>
          <w:tcPr>
            <w:tcW w:w="1280" w:type="dxa"/>
            <w:vAlign w:val="bottom"/>
          </w:tcPr>
          <w:p>
            <w:pPr>
              <w:jc w:val="right"/>
              <w:ind w:right="64"/>
              <w:spacing w:after="0"/>
              <w:rPr>
                <w:sz w:val="20"/>
                <w:szCs w:val="20"/>
                <w:color w:val="auto"/>
              </w:rPr>
            </w:pPr>
            <w:r>
              <w:rPr>
                <w:rFonts w:ascii="Arial" w:cs="Arial" w:eastAsia="Arial" w:hAnsi="Arial"/>
                <w:sz w:val="15"/>
                <w:szCs w:val="15"/>
                <w:color w:val="auto"/>
              </w:rPr>
              <w:t>$1,202,370</w:t>
            </w: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$12,328,862</w:t>
            </w:r>
          </w:p>
        </w:tc>
      </w:tr>
      <w:tr>
        <w:trPr>
          <w:trHeight w:val="224"/>
        </w:trPr>
        <w:tc>
          <w:tcPr>
            <w:tcW w:w="1820" w:type="dxa"/>
            <w:vAlign w:val="bottom"/>
            <w:shd w:val="clear" w:color="auto" w:fill="DFE4EA"/>
          </w:tcPr>
          <w:p>
            <w:pPr>
              <w:jc w:val="right"/>
              <w:ind w:right="1343"/>
              <w:spacing w:after="0"/>
              <w:rPr>
                <w:sz w:val="20"/>
                <w:szCs w:val="20"/>
                <w:color w:val="auto"/>
              </w:rPr>
            </w:pPr>
            <w:r>
              <w:rPr>
                <w:rFonts w:ascii="Arial" w:cs="Arial" w:eastAsia="Arial" w:hAnsi="Arial"/>
                <w:sz w:val="15"/>
                <w:szCs w:val="15"/>
                <w:color w:val="auto"/>
              </w:rPr>
              <w:t>2023</w:t>
            </w:r>
          </w:p>
        </w:tc>
        <w:tc>
          <w:tcPr>
            <w:tcW w:w="1560" w:type="dxa"/>
            <w:vAlign w:val="bottom"/>
            <w:shd w:val="clear" w:color="auto" w:fill="DFE4EA"/>
          </w:tcPr>
          <w:p>
            <w:pPr>
              <w:jc w:val="center"/>
              <w:ind w:left="305"/>
              <w:spacing w:after="0"/>
              <w:rPr>
                <w:sz w:val="20"/>
                <w:szCs w:val="20"/>
                <w:color w:val="auto"/>
              </w:rPr>
            </w:pPr>
            <w:r>
              <w:rPr>
                <w:rFonts w:ascii="Arial" w:cs="Arial" w:eastAsia="Arial" w:hAnsi="Arial"/>
                <w:sz w:val="15"/>
                <w:szCs w:val="15"/>
                <w:color w:val="auto"/>
              </w:rPr>
              <w:t>$3,176,413</w:t>
            </w:r>
          </w:p>
        </w:tc>
        <w:tc>
          <w:tcPr>
            <w:tcW w:w="1460" w:type="dxa"/>
            <w:vAlign w:val="bottom"/>
            <w:shd w:val="clear" w:color="auto" w:fill="DFE4EA"/>
          </w:tcPr>
          <w:p>
            <w:pPr>
              <w:jc w:val="right"/>
              <w:ind w:right="84"/>
              <w:spacing w:after="0"/>
              <w:rPr>
                <w:sz w:val="20"/>
                <w:szCs w:val="20"/>
                <w:color w:val="auto"/>
              </w:rPr>
            </w:pPr>
            <w:r>
              <w:rPr>
                <w:rFonts w:ascii="Arial" w:cs="Arial" w:eastAsia="Arial" w:hAnsi="Arial"/>
                <w:sz w:val="15"/>
                <w:szCs w:val="15"/>
                <w:color w:val="auto"/>
              </w:rPr>
              <w:t>($801,938)</w:t>
            </w:r>
          </w:p>
        </w:tc>
        <w:tc>
          <w:tcPr>
            <w:tcW w:w="1240" w:type="dxa"/>
            <w:vAlign w:val="bottom"/>
            <w:shd w:val="clear" w:color="auto" w:fill="DFE4EA"/>
          </w:tcPr>
          <w:p>
            <w:pPr>
              <w:jc w:val="right"/>
              <w:ind w:right="44"/>
              <w:spacing w:after="0"/>
              <w:rPr>
                <w:sz w:val="20"/>
                <w:szCs w:val="20"/>
                <w:color w:val="auto"/>
              </w:rPr>
            </w:pPr>
            <w:r>
              <w:rPr>
                <w:rFonts w:ascii="Arial" w:cs="Arial" w:eastAsia="Arial" w:hAnsi="Arial"/>
                <w:sz w:val="15"/>
                <w:szCs w:val="15"/>
                <w:color w:val="auto"/>
              </w:rPr>
              <w:t>$1,771,014</w:t>
            </w:r>
          </w:p>
        </w:tc>
        <w:tc>
          <w:tcPr>
            <w:tcW w:w="1360" w:type="dxa"/>
            <w:vAlign w:val="bottom"/>
            <w:shd w:val="clear" w:color="auto" w:fill="DFE4EA"/>
          </w:tcPr>
          <w:p>
            <w:pPr>
              <w:jc w:val="right"/>
              <w:ind w:right="104"/>
              <w:spacing w:after="0"/>
              <w:rPr>
                <w:sz w:val="20"/>
                <w:szCs w:val="20"/>
                <w:color w:val="auto"/>
              </w:rPr>
            </w:pPr>
            <w:r>
              <w:rPr>
                <w:rFonts w:ascii="Arial" w:cs="Arial" w:eastAsia="Arial" w:hAnsi="Arial"/>
                <w:sz w:val="15"/>
                <w:szCs w:val="15"/>
                <w:color w:val="auto"/>
              </w:rPr>
              <w:t>$2,775,817</w:t>
            </w:r>
          </w:p>
        </w:tc>
        <w:tc>
          <w:tcPr>
            <w:tcW w:w="1280" w:type="dxa"/>
            <w:vAlign w:val="bottom"/>
            <w:shd w:val="clear" w:color="auto" w:fill="DFE4EA"/>
          </w:tcPr>
          <w:p>
            <w:pPr>
              <w:jc w:val="right"/>
              <w:ind w:right="64"/>
              <w:spacing w:after="0"/>
              <w:rPr>
                <w:sz w:val="20"/>
                <w:szCs w:val="20"/>
                <w:color w:val="auto"/>
              </w:rPr>
            </w:pPr>
            <w:r>
              <w:rPr>
                <w:rFonts w:ascii="Arial" w:cs="Arial" w:eastAsia="Arial" w:hAnsi="Arial"/>
                <w:sz w:val="15"/>
                <w:szCs w:val="15"/>
                <w:color w:val="auto"/>
              </w:rPr>
              <w:t>$304,572</w:t>
            </w:r>
          </w:p>
        </w:tc>
        <w:tc>
          <w:tcPr>
            <w:tcW w:w="1300" w:type="dxa"/>
            <w:vAlign w:val="bottom"/>
            <w:shd w:val="clear" w:color="auto" w:fill="DFE4EA"/>
          </w:tcPr>
          <w:p>
            <w:pPr>
              <w:jc w:val="right"/>
              <w:ind w:right="24"/>
              <w:spacing w:after="0"/>
              <w:rPr>
                <w:sz w:val="20"/>
                <w:szCs w:val="20"/>
                <w:color w:val="auto"/>
              </w:rPr>
            </w:pPr>
            <w:r>
              <w:rPr>
                <w:rFonts w:ascii="Arial" w:cs="Arial" w:eastAsia="Arial" w:hAnsi="Arial"/>
                <w:sz w:val="15"/>
                <w:szCs w:val="15"/>
                <w:color w:val="auto"/>
              </w:rPr>
              <w:t>$7,225,878</w:t>
            </w:r>
          </w:p>
        </w:tc>
      </w:tr>
      <w:tr>
        <w:trPr>
          <w:trHeight w:val="216"/>
        </w:trPr>
        <w:tc>
          <w:tcPr>
            <w:tcW w:w="1820" w:type="dxa"/>
            <w:vAlign w:val="bottom"/>
          </w:tcPr>
          <w:p>
            <w:pPr>
              <w:jc w:val="right"/>
              <w:ind w:right="1343"/>
              <w:spacing w:after="0"/>
              <w:rPr>
                <w:sz w:val="20"/>
                <w:szCs w:val="20"/>
                <w:color w:val="auto"/>
              </w:rPr>
            </w:pPr>
            <w:r>
              <w:rPr>
                <w:rFonts w:ascii="Arial" w:cs="Arial" w:eastAsia="Arial" w:hAnsi="Arial"/>
                <w:sz w:val="15"/>
                <w:szCs w:val="15"/>
                <w:color w:val="auto"/>
              </w:rPr>
              <w:t>2022</w:t>
            </w:r>
          </w:p>
        </w:tc>
        <w:tc>
          <w:tcPr>
            <w:tcW w:w="1560" w:type="dxa"/>
            <w:vAlign w:val="bottom"/>
          </w:tcPr>
          <w:p>
            <w:pPr>
              <w:jc w:val="center"/>
              <w:ind w:left="305"/>
              <w:spacing w:after="0"/>
              <w:rPr>
                <w:sz w:val="20"/>
                <w:szCs w:val="20"/>
                <w:color w:val="auto"/>
              </w:rPr>
            </w:pPr>
            <w:r>
              <w:rPr>
                <w:rFonts w:ascii="Arial" w:cs="Arial" w:eastAsia="Arial" w:hAnsi="Arial"/>
                <w:sz w:val="15"/>
                <w:szCs w:val="15"/>
                <w:color w:val="auto"/>
              </w:rPr>
              <w:t>$7,216,340</w:t>
            </w:r>
          </w:p>
        </w:tc>
        <w:tc>
          <w:tcPr>
            <w:tcW w:w="1460" w:type="dxa"/>
            <w:vAlign w:val="bottom"/>
          </w:tcPr>
          <w:p>
            <w:pPr>
              <w:jc w:val="right"/>
              <w:ind w:right="84"/>
              <w:spacing w:after="0"/>
              <w:rPr>
                <w:sz w:val="20"/>
                <w:szCs w:val="20"/>
                <w:color w:val="auto"/>
              </w:rPr>
            </w:pPr>
            <w:r>
              <w:rPr>
                <w:rFonts w:ascii="Arial" w:cs="Arial" w:eastAsia="Arial" w:hAnsi="Arial"/>
                <w:sz w:val="15"/>
                <w:szCs w:val="15"/>
                <w:color w:val="auto"/>
              </w:rPr>
              <w:t>($5,587,257)</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$4,689,996</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($1,385,504)</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($215,079)</w:t>
            </w: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$4,718,496</w:t>
            </w:r>
          </w:p>
        </w:tc>
      </w:tr>
      <w:tr>
        <w:trPr>
          <w:trHeight w:val="224"/>
        </w:trPr>
        <w:tc>
          <w:tcPr>
            <w:tcW w:w="1820" w:type="dxa"/>
            <w:vAlign w:val="bottom"/>
            <w:shd w:val="clear" w:color="auto" w:fill="DFE4EA"/>
          </w:tcPr>
          <w:p>
            <w:pPr>
              <w:jc w:val="right"/>
              <w:ind w:right="1343"/>
              <w:spacing w:after="0"/>
              <w:rPr>
                <w:sz w:val="20"/>
                <w:szCs w:val="20"/>
                <w:color w:val="auto"/>
              </w:rPr>
            </w:pPr>
            <w:r>
              <w:rPr>
                <w:rFonts w:ascii="Arial" w:cs="Arial" w:eastAsia="Arial" w:hAnsi="Arial"/>
                <w:sz w:val="15"/>
                <w:szCs w:val="15"/>
                <w:color w:val="auto"/>
              </w:rPr>
              <w:t>2021</w:t>
            </w:r>
          </w:p>
        </w:tc>
        <w:tc>
          <w:tcPr>
            <w:tcW w:w="1560" w:type="dxa"/>
            <w:vAlign w:val="bottom"/>
            <w:shd w:val="clear" w:color="auto" w:fill="DFE4EA"/>
          </w:tcPr>
          <w:p>
            <w:pPr>
              <w:jc w:val="center"/>
              <w:ind w:left="305"/>
              <w:spacing w:after="0"/>
              <w:rPr>
                <w:sz w:val="20"/>
                <w:szCs w:val="20"/>
                <w:color w:val="auto"/>
              </w:rPr>
            </w:pPr>
            <w:r>
              <w:rPr>
                <w:rFonts w:ascii="Arial" w:cs="Arial" w:eastAsia="Arial" w:hAnsi="Arial"/>
                <w:sz w:val="15"/>
                <w:szCs w:val="15"/>
                <w:color w:val="auto"/>
              </w:rPr>
              <w:t>$4,628,566</w:t>
            </w:r>
          </w:p>
        </w:tc>
        <w:tc>
          <w:tcPr>
            <w:tcW w:w="1460" w:type="dxa"/>
            <w:vAlign w:val="bottom"/>
            <w:shd w:val="clear" w:color="auto" w:fill="DFE4EA"/>
          </w:tcPr>
          <w:p>
            <w:pPr>
              <w:jc w:val="right"/>
              <w:ind w:right="84"/>
              <w:spacing w:after="0"/>
              <w:rPr>
                <w:sz w:val="20"/>
                <w:szCs w:val="20"/>
                <w:color w:val="auto"/>
              </w:rPr>
            </w:pPr>
            <w:r>
              <w:rPr>
                <w:rFonts w:ascii="Arial" w:cs="Arial" w:eastAsia="Arial" w:hAnsi="Arial"/>
                <w:sz w:val="15"/>
                <w:szCs w:val="15"/>
                <w:color w:val="auto"/>
              </w:rPr>
              <w:t>($2,977,494)</w:t>
            </w:r>
          </w:p>
        </w:tc>
        <w:tc>
          <w:tcPr>
            <w:tcW w:w="1240" w:type="dxa"/>
            <w:vAlign w:val="bottom"/>
            <w:shd w:val="clear" w:color="auto" w:fill="DFE4EA"/>
          </w:tcPr>
          <w:p>
            <w:pPr>
              <w:jc w:val="right"/>
              <w:ind w:right="44"/>
              <w:spacing w:after="0"/>
              <w:rPr>
                <w:sz w:val="20"/>
                <w:szCs w:val="20"/>
                <w:color w:val="auto"/>
              </w:rPr>
            </w:pPr>
            <w:r>
              <w:rPr>
                <w:rFonts w:ascii="Arial" w:cs="Arial" w:eastAsia="Arial" w:hAnsi="Arial"/>
                <w:sz w:val="15"/>
                <w:szCs w:val="15"/>
                <w:color w:val="auto"/>
              </w:rPr>
              <w:t>$2,402,215</w:t>
            </w:r>
          </w:p>
        </w:tc>
        <w:tc>
          <w:tcPr>
            <w:tcW w:w="1360" w:type="dxa"/>
            <w:vAlign w:val="bottom"/>
            <w:shd w:val="clear" w:color="auto" w:fill="DFE4EA"/>
          </w:tcPr>
          <w:p>
            <w:pPr>
              <w:jc w:val="right"/>
              <w:ind w:right="64"/>
              <w:spacing w:after="0"/>
              <w:rPr>
                <w:sz w:val="20"/>
                <w:szCs w:val="20"/>
                <w:color w:val="auto"/>
              </w:rPr>
            </w:pPr>
            <w:r>
              <w:rPr>
                <w:rFonts w:ascii="Arial" w:cs="Arial" w:eastAsia="Arial" w:hAnsi="Arial"/>
                <w:sz w:val="15"/>
                <w:szCs w:val="15"/>
                <w:color w:val="auto"/>
              </w:rPr>
              <w:t>($495,663)</w:t>
            </w:r>
          </w:p>
        </w:tc>
        <w:tc>
          <w:tcPr>
            <w:tcW w:w="1280" w:type="dxa"/>
            <w:vAlign w:val="bottom"/>
            <w:shd w:val="clear" w:color="auto" w:fill="DFE4EA"/>
          </w:tcPr>
          <w:p>
            <w:pPr>
              <w:jc w:val="right"/>
              <w:ind w:right="64"/>
              <w:spacing w:after="0"/>
              <w:rPr>
                <w:sz w:val="20"/>
                <w:szCs w:val="20"/>
                <w:color w:val="auto"/>
              </w:rPr>
            </w:pPr>
            <w:r>
              <w:rPr>
                <w:rFonts w:ascii="Arial" w:cs="Arial" w:eastAsia="Arial" w:hAnsi="Arial"/>
                <w:sz w:val="15"/>
                <w:szCs w:val="15"/>
                <w:color w:val="auto"/>
              </w:rPr>
              <w:t>$154,913</w:t>
            </w:r>
          </w:p>
        </w:tc>
        <w:tc>
          <w:tcPr>
            <w:tcW w:w="1300" w:type="dxa"/>
            <w:vAlign w:val="bottom"/>
            <w:shd w:val="clear" w:color="auto" w:fill="DFE4EA"/>
          </w:tcPr>
          <w:p>
            <w:pPr>
              <w:jc w:val="right"/>
              <w:ind w:right="24"/>
              <w:spacing w:after="0"/>
              <w:rPr>
                <w:sz w:val="20"/>
                <w:szCs w:val="20"/>
                <w:color w:val="auto"/>
              </w:rPr>
            </w:pPr>
            <w:r>
              <w:rPr>
                <w:rFonts w:ascii="Arial" w:cs="Arial" w:eastAsia="Arial" w:hAnsi="Arial"/>
                <w:sz w:val="15"/>
                <w:szCs w:val="15"/>
                <w:color w:val="auto"/>
              </w:rPr>
              <w:t>$3,712,538</w:t>
            </w:r>
          </w:p>
        </w:tc>
      </w:tr>
    </w:tbl>
    <w:p>
      <w:pPr>
        <w:spacing w:after="0" w:line="200" w:lineRule="exact"/>
        <w:rPr>
          <w:sz w:val="20"/>
          <w:szCs w:val="20"/>
          <w:color w:val="auto"/>
        </w:rPr>
      </w:pP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62" w:name="page63"/>
    <w:bookmarkEnd w:id="62"/>
    <w:p>
      <w:pPr>
        <w:ind w:left="7" w:firstLine="334"/>
        <w:spacing w:after="0" w:line="287" w:lineRule="auto"/>
        <w:rPr>
          <w:sz w:val="20"/>
          <w:szCs w:val="20"/>
          <w:color w:val="auto"/>
        </w:rPr>
      </w:pPr>
      <w:r>
        <w:rPr>
          <w:rFonts w:ascii="Arial" w:cs="Arial" w:eastAsia="Arial" w:hAnsi="Arial"/>
          <w:sz w:val="15"/>
          <w:szCs w:val="15"/>
          <w:color w:val="auto"/>
        </w:rPr>
        <w:t>The following table sets forth a reconciliation from the Summary Compensation Table (“SCT”) to Compensation Actually Paid (“CAP”) for the average paid to our Non-PEO NEOs for each fiscal year.</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74"/>
        </w:trPr>
        <w:tc>
          <w:tcPr>
            <w:tcW w:w="1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rPr>
              <w:t>Change in</w:t>
            </w:r>
          </w:p>
        </w:tc>
        <w:tc>
          <w:tcPr>
            <w:tcW w:w="13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4"/>
        </w:trPr>
        <w:tc>
          <w:tcPr>
            <w:tcW w:w="1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Less Sum of</w:t>
            </w:r>
          </w:p>
        </w:tc>
        <w:tc>
          <w:tcPr>
            <w:tcW w:w="1320" w:type="dxa"/>
            <w:vAlign w:val="bottom"/>
          </w:tcPr>
          <w:p>
            <w:pPr>
              <w:jc w:val="center"/>
              <w:ind w:right="86"/>
              <w:spacing w:after="0"/>
              <w:rPr>
                <w:sz w:val="20"/>
                <w:szCs w:val="20"/>
                <w:color w:val="auto"/>
              </w:rPr>
            </w:pPr>
            <w:r>
              <w:rPr>
                <w:rFonts w:ascii="Arial" w:cs="Arial" w:eastAsia="Arial" w:hAnsi="Arial"/>
                <w:sz w:val="15"/>
                <w:szCs w:val="15"/>
                <w:b w:val="1"/>
                <w:bCs w:val="1"/>
                <w:color w:val="auto"/>
              </w:rPr>
              <w:t>Value of</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rPr>
              <w:t>Value of</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rPr>
              <w:t>Change in</w:t>
            </w:r>
          </w:p>
        </w:tc>
        <w:tc>
          <w:tcPr>
            <w:tcW w:w="1300" w:type="dxa"/>
            <w:vAlign w:val="bottom"/>
          </w:tcPr>
          <w:p>
            <w:pPr>
              <w:spacing w:after="0"/>
              <w:rPr>
                <w:sz w:val="15"/>
                <w:szCs w:val="15"/>
                <w:color w:val="auto"/>
              </w:rPr>
            </w:pPr>
          </w:p>
        </w:tc>
      </w:tr>
      <w:tr>
        <w:trPr>
          <w:trHeight w:val="174"/>
        </w:trPr>
        <w:tc>
          <w:tcPr>
            <w:tcW w:w="1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Stock and</w:t>
            </w:r>
          </w:p>
        </w:tc>
        <w:tc>
          <w:tcPr>
            <w:tcW w:w="1320" w:type="dxa"/>
            <w:vAlign w:val="bottom"/>
          </w:tcPr>
          <w:p>
            <w:pPr>
              <w:jc w:val="center"/>
              <w:ind w:right="86"/>
              <w:spacing w:after="0"/>
              <w:rPr>
                <w:sz w:val="20"/>
                <w:szCs w:val="20"/>
                <w:color w:val="auto"/>
              </w:rPr>
            </w:pPr>
            <w:r>
              <w:rPr>
                <w:rFonts w:ascii="Arial" w:cs="Arial" w:eastAsia="Arial" w:hAnsi="Arial"/>
                <w:sz w:val="15"/>
                <w:szCs w:val="15"/>
                <w:b w:val="1"/>
                <w:bCs w:val="1"/>
                <w:color w:val="auto"/>
              </w:rPr>
              <w:t>Current</w:t>
            </w:r>
          </w:p>
        </w:tc>
        <w:tc>
          <w:tcPr>
            <w:tcW w:w="1220" w:type="dxa"/>
            <w:vAlign w:val="bottom"/>
          </w:tcPr>
          <w:p>
            <w:pPr>
              <w:jc w:val="center"/>
              <w:ind w:right="5"/>
              <w:spacing w:after="0"/>
              <w:rPr>
                <w:sz w:val="20"/>
                <w:szCs w:val="20"/>
                <w:color w:val="auto"/>
              </w:rPr>
            </w:pPr>
            <w:r>
              <w:rPr>
                <w:rFonts w:ascii="Arial" w:cs="Arial" w:eastAsia="Arial" w:hAnsi="Arial"/>
                <w:sz w:val="15"/>
                <w:szCs w:val="15"/>
                <w:b w:val="1"/>
                <w:bCs w:val="1"/>
                <w:color w:val="auto"/>
              </w:rPr>
              <w:t>Unvested</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rPr>
              <w:t>Value of Prior</w:t>
            </w:r>
          </w:p>
        </w:tc>
        <w:tc>
          <w:tcPr>
            <w:tcW w:w="1300" w:type="dxa"/>
            <w:vAlign w:val="bottom"/>
          </w:tcPr>
          <w:p>
            <w:pPr>
              <w:spacing w:after="0"/>
              <w:rPr>
                <w:sz w:val="15"/>
                <w:szCs w:val="15"/>
                <w:color w:val="auto"/>
              </w:rPr>
            </w:pPr>
          </w:p>
        </w:tc>
      </w:tr>
      <w:tr>
        <w:trPr>
          <w:trHeight w:val="174"/>
        </w:trPr>
        <w:tc>
          <w:tcPr>
            <w:tcW w:w="1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Option Award</w:t>
            </w:r>
          </w:p>
        </w:tc>
        <w:tc>
          <w:tcPr>
            <w:tcW w:w="1320" w:type="dxa"/>
            <w:vAlign w:val="bottom"/>
          </w:tcPr>
          <w:p>
            <w:pPr>
              <w:jc w:val="center"/>
              <w:ind w:right="86"/>
              <w:spacing w:after="0"/>
              <w:rPr>
                <w:sz w:val="20"/>
                <w:szCs w:val="20"/>
                <w:color w:val="auto"/>
              </w:rPr>
            </w:pPr>
            <w:r>
              <w:rPr>
                <w:rFonts w:ascii="Arial" w:cs="Arial" w:eastAsia="Arial" w:hAnsi="Arial"/>
                <w:sz w:val="15"/>
                <w:szCs w:val="15"/>
                <w:b w:val="1"/>
                <w:bCs w:val="1"/>
                <w:color w:val="auto"/>
              </w:rPr>
              <w:t>Year Equity</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rPr>
              <w:t>Prior Year</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rPr>
              <w:t>Year Awards</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Total</w:t>
            </w:r>
          </w:p>
        </w:tc>
      </w:tr>
      <w:tr>
        <w:trPr>
          <w:trHeight w:val="174"/>
        </w:trPr>
        <w:tc>
          <w:tcPr>
            <w:tcW w:w="1800" w:type="dxa"/>
            <w:vAlign w:val="bottom"/>
          </w:tcPr>
          <w:p>
            <w:pPr>
              <w:spacing w:after="0"/>
              <w:rPr>
                <w:sz w:val="15"/>
                <w:szCs w:val="15"/>
                <w:color w:val="auto"/>
              </w:rPr>
            </w:pPr>
          </w:p>
        </w:tc>
        <w:tc>
          <w:tcPr>
            <w:tcW w:w="1580" w:type="dxa"/>
            <w:vAlign w:val="bottom"/>
          </w:tcPr>
          <w:p>
            <w:pPr>
              <w:jc w:val="center"/>
              <w:ind w:left="303"/>
              <w:spacing w:after="0"/>
              <w:rPr>
                <w:sz w:val="20"/>
                <w:szCs w:val="20"/>
                <w:color w:val="auto"/>
              </w:rPr>
            </w:pPr>
            <w:r>
              <w:rPr>
                <w:rFonts w:ascii="Arial" w:cs="Arial" w:eastAsia="Arial" w:hAnsi="Arial"/>
                <w:sz w:val="15"/>
                <w:szCs w:val="15"/>
                <w:b w:val="1"/>
                <w:bCs w:val="1"/>
                <w:color w:val="auto"/>
              </w:rPr>
              <w:t>SCT</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Values from</w:t>
            </w:r>
          </w:p>
        </w:tc>
        <w:tc>
          <w:tcPr>
            <w:tcW w:w="1320" w:type="dxa"/>
            <w:vAlign w:val="bottom"/>
          </w:tcPr>
          <w:p>
            <w:pPr>
              <w:jc w:val="center"/>
              <w:ind w:right="86"/>
              <w:spacing w:after="0"/>
              <w:rPr>
                <w:sz w:val="20"/>
                <w:szCs w:val="20"/>
                <w:color w:val="auto"/>
              </w:rPr>
            </w:pPr>
            <w:r>
              <w:rPr>
                <w:rFonts w:ascii="Arial" w:cs="Arial" w:eastAsia="Arial" w:hAnsi="Arial"/>
                <w:sz w:val="15"/>
                <w:szCs w:val="15"/>
                <w:b w:val="1"/>
                <w:bCs w:val="1"/>
                <w:color w:val="auto"/>
              </w:rPr>
              <w:t>Awards at</w:t>
            </w:r>
          </w:p>
        </w:tc>
        <w:tc>
          <w:tcPr>
            <w:tcW w:w="1220" w:type="dxa"/>
            <w:vAlign w:val="bottom"/>
          </w:tcPr>
          <w:p>
            <w:pPr>
              <w:jc w:val="center"/>
              <w:ind w:right="5"/>
              <w:spacing w:after="0"/>
              <w:rPr>
                <w:sz w:val="20"/>
                <w:szCs w:val="20"/>
                <w:color w:val="auto"/>
              </w:rPr>
            </w:pPr>
            <w:r>
              <w:rPr>
                <w:rFonts w:ascii="Arial" w:cs="Arial" w:eastAsia="Arial" w:hAnsi="Arial"/>
                <w:sz w:val="15"/>
                <w:szCs w:val="15"/>
                <w:b w:val="1"/>
                <w:bCs w:val="1"/>
                <w:color w:val="auto"/>
              </w:rPr>
              <w:t>Awards at</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rPr>
              <w:t>That Vested</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Compensation</w:t>
            </w:r>
          </w:p>
        </w:tc>
      </w:tr>
      <w:tr>
        <w:trPr>
          <w:trHeight w:val="202"/>
        </w:trPr>
        <w:tc>
          <w:tcPr>
            <w:tcW w:w="180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Year</w:t>
            </w:r>
          </w:p>
        </w:tc>
        <w:tc>
          <w:tcPr>
            <w:tcW w:w="1580" w:type="dxa"/>
            <w:vAlign w:val="bottom"/>
            <w:tcBorders>
              <w:bottom w:val="single" w:sz="8" w:color="auto"/>
            </w:tcBorders>
          </w:tcPr>
          <w:p>
            <w:pPr>
              <w:jc w:val="center"/>
              <w:ind w:left="303"/>
              <w:spacing w:after="0"/>
              <w:rPr>
                <w:sz w:val="20"/>
                <w:szCs w:val="20"/>
                <w:color w:val="auto"/>
              </w:rPr>
            </w:pPr>
            <w:r>
              <w:rPr>
                <w:rFonts w:ascii="Arial" w:cs="Arial" w:eastAsia="Arial" w:hAnsi="Arial"/>
                <w:sz w:val="15"/>
                <w:szCs w:val="15"/>
                <w:b w:val="1"/>
                <w:bCs w:val="1"/>
                <w:color w:val="auto"/>
              </w:rPr>
              <w:t>Total</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SCT</w:t>
            </w:r>
          </w:p>
        </w:tc>
        <w:tc>
          <w:tcPr>
            <w:tcW w:w="132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b w:val="1"/>
                <w:bCs w:val="1"/>
                <w:color w:val="auto"/>
              </w:rPr>
              <w:t>12/31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12/31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In Current Year</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Actually Paid</w:t>
            </w:r>
          </w:p>
        </w:tc>
      </w:tr>
      <w:tr>
        <w:trPr>
          <w:trHeight w:val="130"/>
        </w:trPr>
        <w:tc>
          <w:tcPr>
            <w:tcW w:w="1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60" w:type="dxa"/>
            <w:vAlign w:val="bottom"/>
          </w:tcPr>
          <w:p>
            <w:pPr>
              <w:jc w:val="center"/>
              <w:spacing w:after="0"/>
              <w:rPr>
                <w:sz w:val="20"/>
                <w:szCs w:val="20"/>
                <w:color w:val="auto"/>
              </w:rPr>
            </w:pPr>
            <w:r>
              <w:rPr>
                <w:rFonts w:ascii="Arial" w:cs="Arial" w:eastAsia="Arial" w:hAnsi="Arial"/>
                <w:sz w:val="9"/>
                <w:szCs w:val="9"/>
                <w:b w:val="1"/>
                <w:bCs w:val="1"/>
                <w:color w:val="auto"/>
              </w:rPr>
              <w:t>(e)</w:t>
            </w:r>
          </w:p>
        </w:tc>
        <w:tc>
          <w:tcPr>
            <w:tcW w:w="1320" w:type="dxa"/>
            <w:vAlign w:val="bottom"/>
          </w:tcPr>
          <w:p>
            <w:pPr>
              <w:jc w:val="center"/>
              <w:ind w:right="86"/>
              <w:spacing w:after="0"/>
              <w:rPr>
                <w:sz w:val="20"/>
                <w:szCs w:val="20"/>
                <w:color w:val="auto"/>
              </w:rPr>
            </w:pPr>
            <w:r>
              <w:rPr>
                <w:rFonts w:ascii="Arial" w:cs="Arial" w:eastAsia="Arial" w:hAnsi="Arial"/>
                <w:sz w:val="9"/>
                <w:szCs w:val="9"/>
                <w:b w:val="1"/>
                <w:bCs w:val="1"/>
                <w:color w:val="auto"/>
                <w:w w:val="88"/>
              </w:rPr>
              <w:t>(f)</w:t>
            </w:r>
          </w:p>
        </w:tc>
        <w:tc>
          <w:tcPr>
            <w:tcW w:w="1220" w:type="dxa"/>
            <w:vAlign w:val="bottom"/>
          </w:tcPr>
          <w:p>
            <w:pPr>
              <w:jc w:val="center"/>
              <w:spacing w:after="0"/>
              <w:rPr>
                <w:sz w:val="20"/>
                <w:szCs w:val="20"/>
                <w:color w:val="auto"/>
              </w:rPr>
            </w:pPr>
            <w:r>
              <w:rPr>
                <w:rFonts w:ascii="Arial" w:cs="Arial" w:eastAsia="Arial" w:hAnsi="Arial"/>
                <w:sz w:val="9"/>
                <w:szCs w:val="9"/>
                <w:b w:val="1"/>
                <w:bCs w:val="1"/>
                <w:color w:val="auto"/>
              </w:rPr>
              <w:t>(g)</w:t>
            </w:r>
          </w:p>
        </w:tc>
        <w:tc>
          <w:tcPr>
            <w:tcW w:w="1340" w:type="dxa"/>
            <w:vAlign w:val="bottom"/>
          </w:tcPr>
          <w:p>
            <w:pPr>
              <w:jc w:val="center"/>
              <w:spacing w:after="0"/>
              <w:rPr>
                <w:sz w:val="20"/>
                <w:szCs w:val="20"/>
                <w:color w:val="auto"/>
              </w:rPr>
            </w:pPr>
            <w:r>
              <w:rPr>
                <w:rFonts w:ascii="Arial" w:cs="Arial" w:eastAsia="Arial" w:hAnsi="Arial"/>
                <w:sz w:val="9"/>
                <w:szCs w:val="9"/>
                <w:b w:val="1"/>
                <w:bCs w:val="1"/>
                <w:color w:val="auto"/>
              </w:rPr>
              <w:t>(h)</w:t>
            </w:r>
          </w:p>
        </w:tc>
        <w:tc>
          <w:tcPr>
            <w:tcW w:w="1300" w:type="dxa"/>
            <w:vAlign w:val="bottom"/>
          </w:tcPr>
          <w:p>
            <w:pPr>
              <w:jc w:val="center"/>
              <w:spacing w:after="0"/>
              <w:rPr>
                <w:sz w:val="20"/>
                <w:szCs w:val="20"/>
                <w:color w:val="auto"/>
              </w:rPr>
            </w:pPr>
            <w:r>
              <w:rPr>
                <w:rFonts w:ascii="Arial" w:cs="Arial" w:eastAsia="Arial" w:hAnsi="Arial"/>
                <w:sz w:val="9"/>
                <w:szCs w:val="9"/>
                <w:b w:val="1"/>
                <w:bCs w:val="1"/>
                <w:color w:val="auto"/>
                <w:w w:val="93"/>
              </w:rPr>
              <w:t>(i)</w:t>
            </w:r>
          </w:p>
        </w:tc>
      </w:tr>
      <w:tr>
        <w:trPr>
          <w:trHeight w:val="36"/>
        </w:trPr>
        <w:tc>
          <w:tcPr>
            <w:tcW w:w="18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0"/>
        </w:trPr>
        <w:tc>
          <w:tcPr>
            <w:tcW w:w="1800" w:type="dxa"/>
            <w:vAlign w:val="bottom"/>
            <w:shd w:val="clear" w:color="auto" w:fill="DFE4EA"/>
          </w:tcPr>
          <w:p>
            <w:pPr>
              <w:jc w:val="right"/>
              <w:ind w:right="1343"/>
              <w:spacing w:after="0"/>
              <w:rPr>
                <w:sz w:val="20"/>
                <w:szCs w:val="20"/>
                <w:color w:val="auto"/>
              </w:rPr>
            </w:pPr>
            <w:r>
              <w:rPr>
                <w:rFonts w:ascii="Arial" w:cs="Arial" w:eastAsia="Arial" w:hAnsi="Arial"/>
                <w:sz w:val="15"/>
                <w:szCs w:val="15"/>
                <w:color w:val="auto"/>
              </w:rPr>
              <w:t>2025</w:t>
            </w:r>
          </w:p>
        </w:tc>
        <w:tc>
          <w:tcPr>
            <w:tcW w:w="1580" w:type="dxa"/>
            <w:vAlign w:val="bottom"/>
            <w:shd w:val="clear" w:color="auto" w:fill="DFE4EA"/>
          </w:tcPr>
          <w:p>
            <w:pPr>
              <w:jc w:val="center"/>
              <w:ind w:left="283"/>
              <w:spacing w:after="0"/>
              <w:rPr>
                <w:sz w:val="20"/>
                <w:szCs w:val="20"/>
                <w:color w:val="auto"/>
              </w:rPr>
            </w:pPr>
            <w:r>
              <w:rPr>
                <w:rFonts w:ascii="Arial" w:cs="Arial" w:eastAsia="Arial" w:hAnsi="Arial"/>
                <w:sz w:val="15"/>
                <w:szCs w:val="15"/>
                <w:color w:val="auto"/>
              </w:rPr>
              <w:t>$2,126,282</w:t>
            </w:r>
          </w:p>
        </w:tc>
        <w:tc>
          <w:tcPr>
            <w:tcW w:w="1460" w:type="dxa"/>
            <w:vAlign w:val="bottom"/>
            <w:shd w:val="clear" w:color="auto" w:fill="DFE4EA"/>
          </w:tcPr>
          <w:p>
            <w:pPr>
              <w:jc w:val="right"/>
              <w:ind w:right="106"/>
              <w:spacing w:after="0"/>
              <w:rPr>
                <w:sz w:val="20"/>
                <w:szCs w:val="20"/>
                <w:color w:val="auto"/>
              </w:rPr>
            </w:pPr>
            <w:r>
              <w:rPr>
                <w:rFonts w:ascii="Arial" w:cs="Arial" w:eastAsia="Arial" w:hAnsi="Arial"/>
                <w:sz w:val="15"/>
                <w:szCs w:val="15"/>
                <w:color w:val="auto"/>
              </w:rPr>
              <w:t>($1,329,987)</w:t>
            </w:r>
          </w:p>
        </w:tc>
        <w:tc>
          <w:tcPr>
            <w:tcW w:w="1320" w:type="dxa"/>
            <w:vAlign w:val="bottom"/>
            <w:shd w:val="clear" w:color="auto" w:fill="DFE4EA"/>
          </w:tcPr>
          <w:p>
            <w:pPr>
              <w:jc w:val="right"/>
              <w:ind w:right="146"/>
              <w:spacing w:after="0"/>
              <w:rPr>
                <w:sz w:val="20"/>
                <w:szCs w:val="20"/>
                <w:color w:val="auto"/>
              </w:rPr>
            </w:pPr>
            <w:r>
              <w:rPr>
                <w:rFonts w:ascii="Arial" w:cs="Arial" w:eastAsia="Arial" w:hAnsi="Arial"/>
                <w:sz w:val="15"/>
                <w:szCs w:val="15"/>
                <w:color w:val="auto"/>
              </w:rPr>
              <w:t>$2,562,039</w:t>
            </w:r>
          </w:p>
        </w:tc>
        <w:tc>
          <w:tcPr>
            <w:tcW w:w="1220" w:type="dxa"/>
            <w:vAlign w:val="bottom"/>
            <w:shd w:val="clear" w:color="auto" w:fill="DFE4EA"/>
          </w:tcPr>
          <w:p>
            <w:pPr>
              <w:jc w:val="right"/>
              <w:ind w:right="45"/>
              <w:spacing w:after="0"/>
              <w:rPr>
                <w:sz w:val="20"/>
                <w:szCs w:val="20"/>
                <w:color w:val="auto"/>
              </w:rPr>
            </w:pPr>
            <w:r>
              <w:rPr>
                <w:rFonts w:ascii="Arial" w:cs="Arial" w:eastAsia="Arial" w:hAnsi="Arial"/>
                <w:sz w:val="15"/>
                <w:szCs w:val="15"/>
                <w:color w:val="auto"/>
              </w:rPr>
              <w:t>$800,086</w:t>
            </w:r>
          </w:p>
        </w:tc>
        <w:tc>
          <w:tcPr>
            <w:tcW w:w="1340" w:type="dxa"/>
            <w:vAlign w:val="bottom"/>
            <w:shd w:val="clear" w:color="auto" w:fill="DFE4EA"/>
          </w:tcPr>
          <w:p>
            <w:pPr>
              <w:jc w:val="right"/>
              <w:ind w:right="86"/>
              <w:spacing w:after="0"/>
              <w:rPr>
                <w:sz w:val="20"/>
                <w:szCs w:val="20"/>
                <w:color w:val="auto"/>
              </w:rPr>
            </w:pPr>
            <w:r>
              <w:rPr>
                <w:rFonts w:ascii="Arial" w:cs="Arial" w:eastAsia="Arial" w:hAnsi="Arial"/>
                <w:sz w:val="15"/>
                <w:szCs w:val="15"/>
                <w:color w:val="auto"/>
              </w:rPr>
              <w:t>$519,831</w:t>
            </w:r>
          </w:p>
        </w:tc>
        <w:tc>
          <w:tcPr>
            <w:tcW w:w="1300" w:type="dxa"/>
            <w:vAlign w:val="bottom"/>
            <w:shd w:val="clear" w:color="auto" w:fill="DFE4EA"/>
          </w:tcPr>
          <w:p>
            <w:pPr>
              <w:jc w:val="right"/>
              <w:ind w:right="26"/>
              <w:spacing w:after="0"/>
              <w:rPr>
                <w:sz w:val="20"/>
                <w:szCs w:val="20"/>
                <w:color w:val="auto"/>
              </w:rPr>
            </w:pPr>
            <w:r>
              <w:rPr>
                <w:rFonts w:ascii="Arial" w:cs="Arial" w:eastAsia="Arial" w:hAnsi="Arial"/>
                <w:sz w:val="15"/>
                <w:szCs w:val="15"/>
                <w:color w:val="auto"/>
              </w:rPr>
              <w:t>$4,678,251</w:t>
            </w:r>
          </w:p>
        </w:tc>
      </w:tr>
      <w:tr>
        <w:trPr>
          <w:trHeight w:val="216"/>
        </w:trPr>
        <w:tc>
          <w:tcPr>
            <w:tcW w:w="1800" w:type="dxa"/>
            <w:vAlign w:val="bottom"/>
          </w:tcPr>
          <w:p>
            <w:pPr>
              <w:jc w:val="right"/>
              <w:ind w:right="1343"/>
              <w:spacing w:after="0"/>
              <w:rPr>
                <w:sz w:val="20"/>
                <w:szCs w:val="20"/>
                <w:color w:val="auto"/>
              </w:rPr>
            </w:pPr>
            <w:r>
              <w:rPr>
                <w:rFonts w:ascii="Arial" w:cs="Arial" w:eastAsia="Arial" w:hAnsi="Arial"/>
                <w:sz w:val="15"/>
                <w:szCs w:val="15"/>
                <w:color w:val="auto"/>
              </w:rPr>
              <w:t>2024</w:t>
            </w:r>
          </w:p>
        </w:tc>
        <w:tc>
          <w:tcPr>
            <w:tcW w:w="1580" w:type="dxa"/>
            <w:vAlign w:val="bottom"/>
          </w:tcPr>
          <w:p>
            <w:pPr>
              <w:jc w:val="center"/>
              <w:ind w:left="283"/>
              <w:spacing w:after="0"/>
              <w:rPr>
                <w:sz w:val="20"/>
                <w:szCs w:val="20"/>
                <w:color w:val="auto"/>
              </w:rPr>
            </w:pPr>
            <w:r>
              <w:rPr>
                <w:rFonts w:ascii="Arial" w:cs="Arial" w:eastAsia="Arial" w:hAnsi="Arial"/>
                <w:sz w:val="15"/>
                <w:szCs w:val="15"/>
                <w:color w:val="auto"/>
              </w:rPr>
              <w:t>$1,703,153</w:t>
            </w:r>
          </w:p>
        </w:tc>
        <w:tc>
          <w:tcPr>
            <w:tcW w:w="1460" w:type="dxa"/>
            <w:vAlign w:val="bottom"/>
          </w:tcPr>
          <w:p>
            <w:pPr>
              <w:jc w:val="right"/>
              <w:ind w:right="106"/>
              <w:spacing w:after="0"/>
              <w:rPr>
                <w:sz w:val="20"/>
                <w:szCs w:val="20"/>
                <w:color w:val="auto"/>
              </w:rPr>
            </w:pPr>
            <w:r>
              <w:rPr>
                <w:rFonts w:ascii="Arial" w:cs="Arial" w:eastAsia="Arial" w:hAnsi="Arial"/>
                <w:sz w:val="15"/>
                <w:szCs w:val="15"/>
                <w:color w:val="auto"/>
              </w:rPr>
              <w:t>($923,744)</w:t>
            </w:r>
          </w:p>
        </w:tc>
        <w:tc>
          <w:tcPr>
            <w:tcW w:w="1320" w:type="dxa"/>
            <w:vAlign w:val="bottom"/>
          </w:tcPr>
          <w:p>
            <w:pPr>
              <w:jc w:val="right"/>
              <w:ind w:right="146"/>
              <w:spacing w:after="0"/>
              <w:rPr>
                <w:sz w:val="20"/>
                <w:szCs w:val="20"/>
                <w:color w:val="auto"/>
              </w:rPr>
            </w:pPr>
            <w:r>
              <w:rPr>
                <w:rFonts w:ascii="Arial" w:cs="Arial" w:eastAsia="Arial" w:hAnsi="Arial"/>
                <w:sz w:val="15"/>
                <w:szCs w:val="15"/>
                <w:color w:val="auto"/>
              </w:rPr>
              <w:t>$1,498,338</w:t>
            </w: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$642,469</w:t>
            </w:r>
          </w:p>
        </w:tc>
        <w:tc>
          <w:tcPr>
            <w:tcW w:w="1340" w:type="dxa"/>
            <w:vAlign w:val="bottom"/>
          </w:tcPr>
          <w:p>
            <w:pPr>
              <w:jc w:val="right"/>
              <w:ind w:right="86"/>
              <w:spacing w:after="0"/>
              <w:rPr>
                <w:sz w:val="20"/>
                <w:szCs w:val="20"/>
                <w:color w:val="auto"/>
              </w:rPr>
            </w:pPr>
            <w:r>
              <w:rPr>
                <w:rFonts w:ascii="Arial" w:cs="Arial" w:eastAsia="Arial" w:hAnsi="Arial"/>
                <w:sz w:val="15"/>
                <w:szCs w:val="15"/>
                <w:color w:val="auto"/>
              </w:rPr>
              <w:t>$230,805</w:t>
            </w:r>
          </w:p>
        </w:tc>
        <w:tc>
          <w:tcPr>
            <w:tcW w:w="1300" w:type="dxa"/>
            <w:vAlign w:val="bottom"/>
          </w:tcPr>
          <w:p>
            <w:pPr>
              <w:jc w:val="right"/>
              <w:ind w:right="26"/>
              <w:spacing w:after="0"/>
              <w:rPr>
                <w:sz w:val="20"/>
                <w:szCs w:val="20"/>
                <w:color w:val="auto"/>
              </w:rPr>
            </w:pPr>
            <w:r>
              <w:rPr>
                <w:rFonts w:ascii="Arial" w:cs="Arial" w:eastAsia="Arial" w:hAnsi="Arial"/>
                <w:sz w:val="15"/>
                <w:szCs w:val="15"/>
                <w:color w:val="auto"/>
              </w:rPr>
              <w:t>$3,151,020</w:t>
            </w:r>
          </w:p>
        </w:tc>
      </w:tr>
      <w:tr>
        <w:trPr>
          <w:trHeight w:val="224"/>
        </w:trPr>
        <w:tc>
          <w:tcPr>
            <w:tcW w:w="1800" w:type="dxa"/>
            <w:vAlign w:val="bottom"/>
            <w:shd w:val="clear" w:color="auto" w:fill="DFE4EA"/>
          </w:tcPr>
          <w:p>
            <w:pPr>
              <w:jc w:val="right"/>
              <w:ind w:right="1343"/>
              <w:spacing w:after="0"/>
              <w:rPr>
                <w:sz w:val="20"/>
                <w:szCs w:val="20"/>
                <w:color w:val="auto"/>
              </w:rPr>
            </w:pPr>
            <w:r>
              <w:rPr>
                <w:rFonts w:ascii="Arial" w:cs="Arial" w:eastAsia="Arial" w:hAnsi="Arial"/>
                <w:sz w:val="15"/>
                <w:szCs w:val="15"/>
                <w:color w:val="auto"/>
              </w:rPr>
              <w:t>2023</w:t>
            </w:r>
          </w:p>
        </w:tc>
        <w:tc>
          <w:tcPr>
            <w:tcW w:w="1580" w:type="dxa"/>
            <w:vAlign w:val="bottom"/>
            <w:shd w:val="clear" w:color="auto" w:fill="DFE4EA"/>
          </w:tcPr>
          <w:p>
            <w:pPr>
              <w:jc w:val="center"/>
              <w:ind w:left="283"/>
              <w:spacing w:after="0"/>
              <w:rPr>
                <w:sz w:val="20"/>
                <w:szCs w:val="20"/>
                <w:color w:val="auto"/>
              </w:rPr>
            </w:pPr>
            <w:r>
              <w:rPr>
                <w:rFonts w:ascii="Arial" w:cs="Arial" w:eastAsia="Arial" w:hAnsi="Arial"/>
                <w:sz w:val="15"/>
                <w:szCs w:val="15"/>
                <w:color w:val="auto"/>
              </w:rPr>
              <w:t>$1,204,664</w:t>
            </w:r>
          </w:p>
        </w:tc>
        <w:tc>
          <w:tcPr>
            <w:tcW w:w="1460" w:type="dxa"/>
            <w:vAlign w:val="bottom"/>
            <w:shd w:val="clear" w:color="auto" w:fill="DFE4EA"/>
          </w:tcPr>
          <w:p>
            <w:pPr>
              <w:jc w:val="right"/>
              <w:ind w:right="106"/>
              <w:spacing w:after="0"/>
              <w:rPr>
                <w:sz w:val="20"/>
                <w:szCs w:val="20"/>
                <w:color w:val="auto"/>
              </w:rPr>
            </w:pPr>
            <w:r>
              <w:rPr>
                <w:rFonts w:ascii="Arial" w:cs="Arial" w:eastAsia="Arial" w:hAnsi="Arial"/>
                <w:sz w:val="15"/>
                <w:szCs w:val="15"/>
                <w:color w:val="auto"/>
              </w:rPr>
              <w:t>($498,431)</w:t>
            </w:r>
          </w:p>
        </w:tc>
        <w:tc>
          <w:tcPr>
            <w:tcW w:w="1320" w:type="dxa"/>
            <w:vAlign w:val="bottom"/>
            <w:shd w:val="clear" w:color="auto" w:fill="DFE4EA"/>
          </w:tcPr>
          <w:p>
            <w:pPr>
              <w:jc w:val="right"/>
              <w:ind w:right="146"/>
              <w:spacing w:after="0"/>
              <w:rPr>
                <w:sz w:val="20"/>
                <w:szCs w:val="20"/>
                <w:color w:val="auto"/>
              </w:rPr>
            </w:pPr>
            <w:r>
              <w:rPr>
                <w:rFonts w:ascii="Arial" w:cs="Arial" w:eastAsia="Arial" w:hAnsi="Arial"/>
                <w:sz w:val="15"/>
                <w:szCs w:val="15"/>
                <w:color w:val="auto"/>
              </w:rPr>
              <w:t>$639,679</w:t>
            </w:r>
          </w:p>
        </w:tc>
        <w:tc>
          <w:tcPr>
            <w:tcW w:w="1220" w:type="dxa"/>
            <w:vAlign w:val="bottom"/>
            <w:shd w:val="clear" w:color="auto" w:fill="DFE4EA"/>
          </w:tcPr>
          <w:p>
            <w:pPr>
              <w:jc w:val="right"/>
              <w:ind w:right="45"/>
              <w:spacing w:after="0"/>
              <w:rPr>
                <w:sz w:val="20"/>
                <w:szCs w:val="20"/>
                <w:color w:val="auto"/>
              </w:rPr>
            </w:pPr>
            <w:r>
              <w:rPr>
                <w:rFonts w:ascii="Arial" w:cs="Arial" w:eastAsia="Arial" w:hAnsi="Arial"/>
                <w:sz w:val="15"/>
                <w:szCs w:val="15"/>
                <w:color w:val="auto"/>
              </w:rPr>
              <w:t>$443,711</w:t>
            </w:r>
          </w:p>
        </w:tc>
        <w:tc>
          <w:tcPr>
            <w:tcW w:w="1340" w:type="dxa"/>
            <w:vAlign w:val="bottom"/>
            <w:shd w:val="clear" w:color="auto" w:fill="DFE4EA"/>
          </w:tcPr>
          <w:p>
            <w:pPr>
              <w:jc w:val="right"/>
              <w:ind w:right="86"/>
              <w:spacing w:after="0"/>
              <w:rPr>
                <w:sz w:val="20"/>
                <w:szCs w:val="20"/>
                <w:color w:val="auto"/>
              </w:rPr>
            </w:pPr>
            <w:r>
              <w:rPr>
                <w:rFonts w:ascii="Arial" w:cs="Arial" w:eastAsia="Arial" w:hAnsi="Arial"/>
                <w:sz w:val="15"/>
                <w:szCs w:val="15"/>
                <w:color w:val="auto"/>
              </w:rPr>
              <w:t>$45,783</w:t>
            </w:r>
          </w:p>
        </w:tc>
        <w:tc>
          <w:tcPr>
            <w:tcW w:w="1300" w:type="dxa"/>
            <w:vAlign w:val="bottom"/>
            <w:shd w:val="clear" w:color="auto" w:fill="DFE4EA"/>
          </w:tcPr>
          <w:p>
            <w:pPr>
              <w:jc w:val="right"/>
              <w:ind w:right="26"/>
              <w:spacing w:after="0"/>
              <w:rPr>
                <w:sz w:val="20"/>
                <w:szCs w:val="20"/>
                <w:color w:val="auto"/>
              </w:rPr>
            </w:pPr>
            <w:r>
              <w:rPr>
                <w:rFonts w:ascii="Arial" w:cs="Arial" w:eastAsia="Arial" w:hAnsi="Arial"/>
                <w:sz w:val="15"/>
                <w:szCs w:val="15"/>
                <w:color w:val="auto"/>
              </w:rPr>
              <w:t>$1,835,407</w:t>
            </w:r>
          </w:p>
        </w:tc>
      </w:tr>
      <w:tr>
        <w:trPr>
          <w:trHeight w:val="216"/>
        </w:trPr>
        <w:tc>
          <w:tcPr>
            <w:tcW w:w="1800" w:type="dxa"/>
            <w:vAlign w:val="bottom"/>
          </w:tcPr>
          <w:p>
            <w:pPr>
              <w:jc w:val="right"/>
              <w:ind w:right="1343"/>
              <w:spacing w:after="0"/>
              <w:rPr>
                <w:sz w:val="20"/>
                <w:szCs w:val="20"/>
                <w:color w:val="auto"/>
              </w:rPr>
            </w:pPr>
            <w:r>
              <w:rPr>
                <w:rFonts w:ascii="Arial" w:cs="Arial" w:eastAsia="Arial" w:hAnsi="Arial"/>
                <w:sz w:val="15"/>
                <w:szCs w:val="15"/>
                <w:color w:val="auto"/>
              </w:rPr>
              <w:t>2022</w:t>
            </w:r>
          </w:p>
        </w:tc>
        <w:tc>
          <w:tcPr>
            <w:tcW w:w="1580" w:type="dxa"/>
            <w:vAlign w:val="bottom"/>
          </w:tcPr>
          <w:p>
            <w:pPr>
              <w:jc w:val="center"/>
              <w:ind w:left="283"/>
              <w:spacing w:after="0"/>
              <w:rPr>
                <w:sz w:val="20"/>
                <w:szCs w:val="20"/>
                <w:color w:val="auto"/>
              </w:rPr>
            </w:pPr>
            <w:r>
              <w:rPr>
                <w:rFonts w:ascii="Arial" w:cs="Arial" w:eastAsia="Arial" w:hAnsi="Arial"/>
                <w:sz w:val="15"/>
                <w:szCs w:val="15"/>
                <w:color w:val="auto"/>
              </w:rPr>
              <w:t>$1,796,100</w:t>
            </w:r>
          </w:p>
        </w:tc>
        <w:tc>
          <w:tcPr>
            <w:tcW w:w="1460" w:type="dxa"/>
            <w:vAlign w:val="bottom"/>
          </w:tcPr>
          <w:p>
            <w:pPr>
              <w:jc w:val="right"/>
              <w:ind w:right="106"/>
              <w:spacing w:after="0"/>
              <w:rPr>
                <w:sz w:val="20"/>
                <w:szCs w:val="20"/>
                <w:color w:val="auto"/>
              </w:rPr>
            </w:pPr>
            <w:r>
              <w:rPr>
                <w:rFonts w:ascii="Arial" w:cs="Arial" w:eastAsia="Arial" w:hAnsi="Arial"/>
                <w:sz w:val="15"/>
                <w:szCs w:val="15"/>
                <w:color w:val="auto"/>
              </w:rPr>
              <w:t>($1,124,197)</w:t>
            </w:r>
          </w:p>
        </w:tc>
        <w:tc>
          <w:tcPr>
            <w:tcW w:w="1320" w:type="dxa"/>
            <w:vAlign w:val="bottom"/>
          </w:tcPr>
          <w:p>
            <w:pPr>
              <w:jc w:val="right"/>
              <w:ind w:right="146"/>
              <w:spacing w:after="0"/>
              <w:rPr>
                <w:sz w:val="20"/>
                <w:szCs w:val="20"/>
                <w:color w:val="auto"/>
              </w:rPr>
            </w:pPr>
            <w:r>
              <w:rPr>
                <w:rFonts w:ascii="Arial" w:cs="Arial" w:eastAsia="Arial" w:hAnsi="Arial"/>
                <w:sz w:val="15"/>
                <w:szCs w:val="15"/>
                <w:color w:val="auto"/>
              </w:rPr>
              <w:t>$955,981</w:t>
            </w:r>
          </w:p>
        </w:tc>
        <w:tc>
          <w:tcPr>
            <w:tcW w:w="1220" w:type="dxa"/>
            <w:vAlign w:val="bottom"/>
          </w:tcPr>
          <w:p>
            <w:pPr>
              <w:jc w:val="right"/>
              <w:ind w:right="25"/>
              <w:spacing w:after="0"/>
              <w:rPr>
                <w:sz w:val="20"/>
                <w:szCs w:val="20"/>
                <w:color w:val="auto"/>
              </w:rPr>
            </w:pPr>
            <w:r>
              <w:rPr>
                <w:rFonts w:ascii="Arial" w:cs="Arial" w:eastAsia="Arial" w:hAnsi="Arial"/>
                <w:sz w:val="15"/>
                <w:szCs w:val="15"/>
                <w:color w:val="auto"/>
              </w:rPr>
              <w:t>($239,756)</w:t>
            </w:r>
          </w:p>
        </w:tc>
        <w:tc>
          <w:tcPr>
            <w:tcW w:w="1340" w:type="dxa"/>
            <w:vAlign w:val="bottom"/>
          </w:tcPr>
          <w:p>
            <w:pPr>
              <w:jc w:val="right"/>
              <w:ind w:right="26"/>
              <w:spacing w:after="0"/>
              <w:rPr>
                <w:sz w:val="20"/>
                <w:szCs w:val="20"/>
                <w:color w:val="auto"/>
              </w:rPr>
            </w:pPr>
            <w:r>
              <w:rPr>
                <w:rFonts w:ascii="Arial" w:cs="Arial" w:eastAsia="Arial" w:hAnsi="Arial"/>
                <w:sz w:val="15"/>
                <w:szCs w:val="15"/>
                <w:color w:val="auto"/>
              </w:rPr>
              <w:t>($35,259)</w:t>
            </w:r>
          </w:p>
        </w:tc>
        <w:tc>
          <w:tcPr>
            <w:tcW w:w="1300" w:type="dxa"/>
            <w:vAlign w:val="bottom"/>
          </w:tcPr>
          <w:p>
            <w:pPr>
              <w:jc w:val="right"/>
              <w:ind w:right="26"/>
              <w:spacing w:after="0"/>
              <w:rPr>
                <w:sz w:val="20"/>
                <w:szCs w:val="20"/>
                <w:color w:val="auto"/>
              </w:rPr>
            </w:pPr>
            <w:r>
              <w:rPr>
                <w:rFonts w:ascii="Arial" w:cs="Arial" w:eastAsia="Arial" w:hAnsi="Arial"/>
                <w:sz w:val="15"/>
                <w:szCs w:val="15"/>
                <w:color w:val="auto"/>
              </w:rPr>
              <w:t>$1,352,869</w:t>
            </w:r>
          </w:p>
        </w:tc>
      </w:tr>
      <w:tr>
        <w:trPr>
          <w:trHeight w:val="224"/>
        </w:trPr>
        <w:tc>
          <w:tcPr>
            <w:tcW w:w="1800" w:type="dxa"/>
            <w:vAlign w:val="bottom"/>
            <w:shd w:val="clear" w:color="auto" w:fill="DFE4EA"/>
          </w:tcPr>
          <w:p>
            <w:pPr>
              <w:jc w:val="right"/>
              <w:ind w:right="1343"/>
              <w:spacing w:after="0"/>
              <w:rPr>
                <w:sz w:val="20"/>
                <w:szCs w:val="20"/>
                <w:color w:val="auto"/>
              </w:rPr>
            </w:pPr>
            <w:r>
              <w:rPr>
                <w:rFonts w:ascii="Arial" w:cs="Arial" w:eastAsia="Arial" w:hAnsi="Arial"/>
                <w:sz w:val="15"/>
                <w:szCs w:val="15"/>
                <w:color w:val="auto"/>
              </w:rPr>
              <w:t>2021</w:t>
            </w:r>
          </w:p>
        </w:tc>
        <w:tc>
          <w:tcPr>
            <w:tcW w:w="1580" w:type="dxa"/>
            <w:vAlign w:val="bottom"/>
            <w:shd w:val="clear" w:color="auto" w:fill="DFE4EA"/>
          </w:tcPr>
          <w:p>
            <w:pPr>
              <w:jc w:val="center"/>
              <w:ind w:left="283"/>
              <w:spacing w:after="0"/>
              <w:rPr>
                <w:sz w:val="20"/>
                <w:szCs w:val="20"/>
                <w:color w:val="auto"/>
              </w:rPr>
            </w:pPr>
            <w:r>
              <w:rPr>
                <w:rFonts w:ascii="Arial" w:cs="Arial" w:eastAsia="Arial" w:hAnsi="Arial"/>
                <w:sz w:val="15"/>
                <w:szCs w:val="15"/>
                <w:color w:val="auto"/>
              </w:rPr>
              <w:t>$1,286,725</w:t>
            </w:r>
          </w:p>
        </w:tc>
        <w:tc>
          <w:tcPr>
            <w:tcW w:w="1460" w:type="dxa"/>
            <w:vAlign w:val="bottom"/>
            <w:shd w:val="clear" w:color="auto" w:fill="DFE4EA"/>
          </w:tcPr>
          <w:p>
            <w:pPr>
              <w:jc w:val="right"/>
              <w:ind w:right="106"/>
              <w:spacing w:after="0"/>
              <w:rPr>
                <w:sz w:val="20"/>
                <w:szCs w:val="20"/>
                <w:color w:val="auto"/>
              </w:rPr>
            </w:pPr>
            <w:r>
              <w:rPr>
                <w:rFonts w:ascii="Arial" w:cs="Arial" w:eastAsia="Arial" w:hAnsi="Arial"/>
                <w:sz w:val="15"/>
                <w:szCs w:val="15"/>
                <w:color w:val="auto"/>
              </w:rPr>
              <w:t>($640,635)</w:t>
            </w:r>
          </w:p>
        </w:tc>
        <w:tc>
          <w:tcPr>
            <w:tcW w:w="1320" w:type="dxa"/>
            <w:vAlign w:val="bottom"/>
            <w:shd w:val="clear" w:color="auto" w:fill="DFE4EA"/>
          </w:tcPr>
          <w:p>
            <w:pPr>
              <w:jc w:val="right"/>
              <w:ind w:right="146"/>
              <w:spacing w:after="0"/>
              <w:rPr>
                <w:sz w:val="20"/>
                <w:szCs w:val="20"/>
                <w:color w:val="auto"/>
              </w:rPr>
            </w:pPr>
            <w:r>
              <w:rPr>
                <w:rFonts w:ascii="Arial" w:cs="Arial" w:eastAsia="Arial" w:hAnsi="Arial"/>
                <w:sz w:val="15"/>
                <w:szCs w:val="15"/>
                <w:color w:val="auto"/>
              </w:rPr>
              <w:t>$508,720</w:t>
            </w:r>
          </w:p>
        </w:tc>
        <w:tc>
          <w:tcPr>
            <w:tcW w:w="1220" w:type="dxa"/>
            <w:vAlign w:val="bottom"/>
            <w:shd w:val="clear" w:color="auto" w:fill="DFE4EA"/>
          </w:tcPr>
          <w:p>
            <w:pPr>
              <w:jc w:val="right"/>
              <w:ind w:right="25"/>
              <w:spacing w:after="0"/>
              <w:rPr>
                <w:sz w:val="20"/>
                <w:szCs w:val="20"/>
                <w:color w:val="auto"/>
              </w:rPr>
            </w:pPr>
            <w:r>
              <w:rPr>
                <w:rFonts w:ascii="Arial" w:cs="Arial" w:eastAsia="Arial" w:hAnsi="Arial"/>
                <w:sz w:val="15"/>
                <w:szCs w:val="15"/>
                <w:color w:val="auto"/>
              </w:rPr>
              <w:t>($72,575)</w:t>
            </w:r>
          </w:p>
        </w:tc>
        <w:tc>
          <w:tcPr>
            <w:tcW w:w="1340" w:type="dxa"/>
            <w:vAlign w:val="bottom"/>
            <w:shd w:val="clear" w:color="auto" w:fill="DFE4EA"/>
          </w:tcPr>
          <w:p>
            <w:pPr>
              <w:jc w:val="right"/>
              <w:ind w:right="86"/>
              <w:spacing w:after="0"/>
              <w:rPr>
                <w:sz w:val="20"/>
                <w:szCs w:val="20"/>
                <w:color w:val="auto"/>
              </w:rPr>
            </w:pPr>
            <w:r>
              <w:rPr>
                <w:rFonts w:ascii="Arial" w:cs="Arial" w:eastAsia="Arial" w:hAnsi="Arial"/>
                <w:sz w:val="15"/>
                <w:szCs w:val="15"/>
                <w:color w:val="auto"/>
              </w:rPr>
              <w:t>$26,701</w:t>
            </w:r>
          </w:p>
        </w:tc>
        <w:tc>
          <w:tcPr>
            <w:tcW w:w="1300" w:type="dxa"/>
            <w:vAlign w:val="bottom"/>
            <w:shd w:val="clear" w:color="auto" w:fill="DFE4EA"/>
          </w:tcPr>
          <w:p>
            <w:pPr>
              <w:jc w:val="right"/>
              <w:ind w:right="26"/>
              <w:spacing w:after="0"/>
              <w:rPr>
                <w:sz w:val="20"/>
                <w:szCs w:val="20"/>
                <w:color w:val="auto"/>
              </w:rPr>
            </w:pPr>
            <w:r>
              <w:rPr>
                <w:rFonts w:ascii="Arial" w:cs="Arial" w:eastAsia="Arial" w:hAnsi="Arial"/>
                <w:sz w:val="15"/>
                <w:szCs w:val="15"/>
                <w:color w:val="auto"/>
              </w:rPr>
              <w:t>$1,108,935</w:t>
            </w:r>
          </w:p>
        </w:tc>
      </w:tr>
    </w:tbl>
    <w:p>
      <w:pPr>
        <w:spacing w:after="0" w:line="93" w:lineRule="exact"/>
        <w:rPr>
          <w:sz w:val="20"/>
          <w:szCs w:val="20"/>
          <w:color w:val="auto"/>
        </w:rPr>
      </w:pPr>
    </w:p>
    <w:p>
      <w:pPr>
        <w:ind w:left="227" w:hanging="227"/>
        <w:spacing w:after="0"/>
        <w:tabs>
          <w:tab w:leader="none" w:pos="227"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Represents the grant date fair value of equity-based awards made during the covered fiscal year as reported in the Summary Compensation Table.</w:t>
      </w:r>
    </w:p>
    <w:p>
      <w:pPr>
        <w:spacing w:after="0" w:line="78" w:lineRule="exact"/>
        <w:rPr>
          <w:rFonts w:ascii="Arial" w:cs="Arial" w:eastAsia="Arial" w:hAnsi="Arial"/>
          <w:sz w:val="22"/>
          <w:szCs w:val="22"/>
          <w:color w:val="auto"/>
          <w:vertAlign w:val="superscript"/>
        </w:rPr>
      </w:pPr>
    </w:p>
    <w:p>
      <w:pPr>
        <w:ind w:left="227" w:hanging="227"/>
        <w:spacing w:after="0" w:line="200" w:lineRule="auto"/>
        <w:tabs>
          <w:tab w:leader="none" w:pos="227"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Represents the year-end fair value of equity awards that were made during the covered fiscal year and remained unvested as of the end of the covered fiscal year.</w:t>
      </w:r>
    </w:p>
    <w:p>
      <w:pPr>
        <w:spacing w:after="0" w:line="117" w:lineRule="exact"/>
        <w:rPr>
          <w:rFonts w:ascii="Arial" w:cs="Arial" w:eastAsia="Arial" w:hAnsi="Arial"/>
          <w:sz w:val="22"/>
          <w:szCs w:val="22"/>
          <w:color w:val="auto"/>
          <w:vertAlign w:val="superscript"/>
        </w:rPr>
      </w:pPr>
    </w:p>
    <w:p>
      <w:pPr>
        <w:ind w:left="227" w:hanging="227"/>
        <w:spacing w:after="0" w:line="200" w:lineRule="auto"/>
        <w:tabs>
          <w:tab w:leader="none" w:pos="227"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Represents the change as of the end of the covered fiscal year (from the end of the prior fiscal year) in fair value of equity-based awards granted in prior fiscal years that were still unvested as of the covered fiscal year-end.</w:t>
      </w:r>
    </w:p>
    <w:p>
      <w:pPr>
        <w:spacing w:after="0" w:line="118" w:lineRule="exact"/>
        <w:rPr>
          <w:rFonts w:ascii="Arial" w:cs="Arial" w:eastAsia="Arial" w:hAnsi="Arial"/>
          <w:sz w:val="22"/>
          <w:szCs w:val="22"/>
          <w:color w:val="auto"/>
          <w:vertAlign w:val="superscript"/>
        </w:rPr>
      </w:pPr>
    </w:p>
    <w:p>
      <w:pPr>
        <w:ind w:left="227" w:hanging="227"/>
        <w:spacing w:after="0" w:line="200" w:lineRule="auto"/>
        <w:tabs>
          <w:tab w:leader="none" w:pos="227"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Represents the change as of the vesting date (from the end of the prior fiscal year) in fair value of equity-based awards granted in prior fiscal years that vested as of the end of or during the covered fiscal year.</w:t>
      </w:r>
    </w:p>
    <w:p>
      <w:pPr>
        <w:spacing w:after="0" w:line="107" w:lineRule="exact"/>
        <w:rPr>
          <w:rFonts w:ascii="Arial" w:cs="Arial" w:eastAsia="Arial" w:hAnsi="Arial"/>
          <w:sz w:val="22"/>
          <w:szCs w:val="22"/>
          <w:color w:val="auto"/>
          <w:vertAlign w:val="superscript"/>
        </w:rPr>
      </w:pPr>
    </w:p>
    <w:p>
      <w:pPr>
        <w:jc w:val="both"/>
        <w:ind w:left="227" w:hanging="227"/>
        <w:spacing w:after="0" w:line="228" w:lineRule="auto"/>
        <w:tabs>
          <w:tab w:leader="none" w:pos="227"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Equal to summary compensation total plus/minus any adjustments related to equity award values as reflected in this table. For purposes of calculating “compensation actually paid,” the fair value of equity awards at year-end 2024 and 2025, and on vesting dates for awards that vested during 2025, were all determined consistent with the approach used to value the awards at the grant date for purposes of the Summary Compensation Table (refer to “Executive Officer Compensation – Summary Compensation Table” for additional information). For any awards subject to performance conditions, the change in fair value as of the end of the covered fiscal year is calculated based on the probable outcome of such conditions as of the last day of the fiscal year. The valuation assumptions used to calculate fair values do not differ materially from those disclosed at the time of grant, other than as reflected in the table below, which summarizes option fair values determined using the Black-Scholes model and related assumptions used to calculate Compensation Actually Paid for fiscal year 2025.</w:t>
      </w:r>
    </w:p>
    <w:p>
      <w:pPr>
        <w:spacing w:after="0" w:line="125" w:lineRule="exact"/>
        <w:rPr>
          <w:sz w:val="20"/>
          <w:szCs w:val="20"/>
          <w:color w:val="auto"/>
        </w:rPr>
      </w:pPr>
    </w:p>
    <w:tbl>
      <w:tblPr>
        <w:tblLayout w:type="fixed"/>
        <w:tblInd w:w="7" w:type="dxa"/>
        <w:tblCellMar>
          <w:top w:w="0" w:type="dxa"/>
          <w:left w:w="0" w:type="dxa"/>
          <w:bottom w:w="0" w:type="dxa"/>
          <w:right w:w="0" w:type="dxa"/>
        </w:tblCellMar>
      </w:tblPr>
      <w:tr>
        <w:trPr>
          <w:trHeight w:val="174"/>
        </w:trPr>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AORT</w:t>
            </w: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4"/>
        </w:trPr>
        <w:tc>
          <w:tcPr>
            <w:tcW w:w="1540" w:type="dxa"/>
            <w:vAlign w:val="bottom"/>
          </w:tcPr>
          <w:p>
            <w:pPr>
              <w:jc w:val="center"/>
              <w:ind w:left="103"/>
              <w:spacing w:after="0"/>
              <w:rPr>
                <w:sz w:val="20"/>
                <w:szCs w:val="20"/>
                <w:color w:val="auto"/>
              </w:rPr>
            </w:pPr>
            <w:r>
              <w:rPr>
                <w:rFonts w:ascii="Arial" w:cs="Arial" w:eastAsia="Arial" w:hAnsi="Arial"/>
                <w:sz w:val="15"/>
                <w:szCs w:val="15"/>
                <w:b w:val="1"/>
                <w:bCs w:val="1"/>
                <w:color w:val="auto"/>
              </w:rPr>
              <w:t>Valuation</w:t>
            </w:r>
          </w:p>
        </w:tc>
        <w:tc>
          <w:tcPr>
            <w:tcW w:w="1560" w:type="dxa"/>
            <w:vAlign w:val="bottom"/>
          </w:tcPr>
          <w:p>
            <w:pPr>
              <w:jc w:val="center"/>
              <w:ind w:left="83"/>
              <w:spacing w:after="0"/>
              <w:rPr>
                <w:sz w:val="20"/>
                <w:szCs w:val="20"/>
                <w:color w:val="auto"/>
              </w:rPr>
            </w:pPr>
            <w:r>
              <w:rPr>
                <w:rFonts w:ascii="Arial" w:cs="Arial" w:eastAsia="Arial" w:hAnsi="Arial"/>
                <w:sz w:val="15"/>
                <w:szCs w:val="15"/>
                <w:b w:val="1"/>
                <w:bCs w:val="1"/>
                <w:color w:val="auto"/>
              </w:rPr>
              <w:t>AORT</w:t>
            </w:r>
          </w:p>
        </w:tc>
        <w:tc>
          <w:tcPr>
            <w:tcW w:w="1460" w:type="dxa"/>
            <w:vAlign w:val="bottom"/>
          </w:tcPr>
          <w:p>
            <w:pPr>
              <w:jc w:val="center"/>
              <w:ind w:right="3"/>
              <w:spacing w:after="0"/>
              <w:rPr>
                <w:sz w:val="20"/>
                <w:szCs w:val="20"/>
                <w:color w:val="auto"/>
              </w:rPr>
            </w:pPr>
            <w:r>
              <w:rPr>
                <w:rFonts w:ascii="Arial" w:cs="Arial" w:eastAsia="Arial" w:hAnsi="Arial"/>
                <w:sz w:val="15"/>
                <w:szCs w:val="15"/>
                <w:b w:val="1"/>
                <w:bCs w:val="1"/>
                <w:color w:val="auto"/>
              </w:rPr>
              <w:t>Option</w:t>
            </w:r>
          </w:p>
        </w:tc>
        <w:tc>
          <w:tcPr>
            <w:tcW w:w="1300" w:type="dxa"/>
            <w:vAlign w:val="bottom"/>
          </w:tcPr>
          <w:p>
            <w:pPr>
              <w:jc w:val="center"/>
              <w:ind w:right="3"/>
              <w:spacing w:after="0"/>
              <w:rPr>
                <w:sz w:val="20"/>
                <w:szCs w:val="20"/>
                <w:color w:val="auto"/>
              </w:rPr>
            </w:pPr>
            <w:r>
              <w:rPr>
                <w:rFonts w:ascii="Arial" w:cs="Arial" w:eastAsia="Arial" w:hAnsi="Arial"/>
                <w:sz w:val="15"/>
                <w:szCs w:val="15"/>
                <w:b w:val="1"/>
                <w:bCs w:val="1"/>
                <w:color w:val="auto"/>
              </w:rPr>
              <w:t>Expected</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Stock</w:t>
            </w:r>
          </w:p>
        </w:tc>
        <w:tc>
          <w:tcPr>
            <w:tcW w:w="14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rPr>
              <w:t>Option</w:t>
            </w:r>
          </w:p>
        </w:tc>
      </w:tr>
      <w:tr>
        <w:trPr>
          <w:trHeight w:val="174"/>
        </w:trPr>
        <w:tc>
          <w:tcPr>
            <w:tcW w:w="1540" w:type="dxa"/>
            <w:vAlign w:val="bottom"/>
          </w:tcPr>
          <w:p>
            <w:pPr>
              <w:jc w:val="center"/>
              <w:ind w:left="123"/>
              <w:spacing w:after="0"/>
              <w:rPr>
                <w:sz w:val="20"/>
                <w:szCs w:val="20"/>
                <w:color w:val="auto"/>
              </w:rPr>
            </w:pPr>
            <w:r>
              <w:rPr>
                <w:rFonts w:ascii="Arial" w:cs="Arial" w:eastAsia="Arial" w:hAnsi="Arial"/>
                <w:sz w:val="15"/>
                <w:szCs w:val="15"/>
                <w:b w:val="1"/>
                <w:bCs w:val="1"/>
                <w:color w:val="auto"/>
              </w:rPr>
              <w:t>Purpose</w:t>
            </w:r>
          </w:p>
        </w:tc>
        <w:tc>
          <w:tcPr>
            <w:tcW w:w="1560" w:type="dxa"/>
            <w:vAlign w:val="bottom"/>
          </w:tcPr>
          <w:p>
            <w:pPr>
              <w:jc w:val="center"/>
              <w:ind w:left="103"/>
              <w:spacing w:after="0"/>
              <w:rPr>
                <w:sz w:val="20"/>
                <w:szCs w:val="20"/>
                <w:color w:val="auto"/>
              </w:rPr>
            </w:pPr>
            <w:r>
              <w:rPr>
                <w:rFonts w:ascii="Arial" w:cs="Arial" w:eastAsia="Arial" w:hAnsi="Arial"/>
                <w:sz w:val="15"/>
                <w:szCs w:val="15"/>
                <w:b w:val="1"/>
                <w:bCs w:val="1"/>
                <w:color w:val="auto"/>
              </w:rPr>
              <w:t>Stock</w:t>
            </w:r>
          </w:p>
        </w:tc>
        <w:tc>
          <w:tcPr>
            <w:tcW w:w="1460" w:type="dxa"/>
            <w:vAlign w:val="bottom"/>
          </w:tcPr>
          <w:p>
            <w:pPr>
              <w:jc w:val="center"/>
              <w:ind w:right="3"/>
              <w:spacing w:after="0"/>
              <w:rPr>
                <w:sz w:val="20"/>
                <w:szCs w:val="20"/>
                <w:color w:val="auto"/>
              </w:rPr>
            </w:pPr>
            <w:r>
              <w:rPr>
                <w:rFonts w:ascii="Arial" w:cs="Arial" w:eastAsia="Arial" w:hAnsi="Arial"/>
                <w:sz w:val="15"/>
                <w:szCs w:val="15"/>
                <w:b w:val="1"/>
                <w:bCs w:val="1"/>
                <w:color w:val="auto"/>
              </w:rPr>
              <w:t>Exercise</w:t>
            </w:r>
          </w:p>
        </w:tc>
        <w:tc>
          <w:tcPr>
            <w:tcW w:w="1300" w:type="dxa"/>
            <w:vAlign w:val="bottom"/>
          </w:tcPr>
          <w:p>
            <w:pPr>
              <w:jc w:val="center"/>
              <w:ind w:right="3"/>
              <w:spacing w:after="0"/>
              <w:rPr>
                <w:sz w:val="20"/>
                <w:szCs w:val="20"/>
                <w:color w:val="auto"/>
              </w:rPr>
            </w:pPr>
            <w:r>
              <w:rPr>
                <w:rFonts w:ascii="Arial" w:cs="Arial" w:eastAsia="Arial" w:hAnsi="Arial"/>
                <w:sz w:val="15"/>
                <w:szCs w:val="15"/>
                <w:b w:val="1"/>
                <w:bCs w:val="1"/>
                <w:color w:val="auto"/>
              </w:rPr>
              <w:t>Term</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Price</w:t>
            </w:r>
          </w:p>
        </w:tc>
        <w:tc>
          <w:tcPr>
            <w:tcW w:w="1480" w:type="dxa"/>
            <w:vAlign w:val="bottom"/>
          </w:tcPr>
          <w:p>
            <w:pPr>
              <w:jc w:val="center"/>
              <w:ind w:left="23"/>
              <w:spacing w:after="0"/>
              <w:rPr>
                <w:sz w:val="20"/>
                <w:szCs w:val="20"/>
                <w:color w:val="auto"/>
              </w:rPr>
            </w:pPr>
            <w:r>
              <w:rPr>
                <w:rFonts w:ascii="Arial" w:cs="Arial" w:eastAsia="Arial" w:hAnsi="Arial"/>
                <w:sz w:val="15"/>
                <w:szCs w:val="15"/>
                <w:b w:val="1"/>
                <w:bCs w:val="1"/>
                <w:color w:val="auto"/>
              </w:rPr>
              <w:t>Risk-free</w:t>
            </w: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rPr>
              <w:t>Fair</w:t>
            </w:r>
          </w:p>
        </w:tc>
      </w:tr>
      <w:tr>
        <w:trPr>
          <w:trHeight w:val="198"/>
        </w:trPr>
        <w:tc>
          <w:tcPr>
            <w:tcW w:w="1540" w:type="dxa"/>
            <w:vAlign w:val="bottom"/>
            <w:tcBorders>
              <w:bottom w:val="single" w:sz="8" w:color="auto"/>
            </w:tcBorders>
          </w:tcPr>
          <w:p>
            <w:pPr>
              <w:jc w:val="center"/>
              <w:ind w:left="103"/>
              <w:spacing w:after="0"/>
              <w:rPr>
                <w:sz w:val="20"/>
                <w:szCs w:val="20"/>
                <w:color w:val="auto"/>
              </w:rPr>
            </w:pPr>
            <w:r>
              <w:rPr>
                <w:rFonts w:ascii="Arial" w:cs="Arial" w:eastAsia="Arial" w:hAnsi="Arial"/>
                <w:sz w:val="15"/>
                <w:szCs w:val="15"/>
                <w:b w:val="1"/>
                <w:bCs w:val="1"/>
                <w:color w:val="auto"/>
              </w:rPr>
              <w:t>for PVP</w:t>
            </w:r>
          </w:p>
        </w:tc>
        <w:tc>
          <w:tcPr>
            <w:tcW w:w="1560" w:type="dxa"/>
            <w:vAlign w:val="bottom"/>
            <w:tcBorders>
              <w:bottom w:val="single" w:sz="8" w:color="auto"/>
            </w:tcBorders>
          </w:tcPr>
          <w:p>
            <w:pPr>
              <w:jc w:val="center"/>
              <w:ind w:left="103"/>
              <w:spacing w:after="0"/>
              <w:rPr>
                <w:sz w:val="20"/>
                <w:szCs w:val="20"/>
                <w:color w:val="auto"/>
              </w:rPr>
            </w:pPr>
            <w:r>
              <w:rPr>
                <w:rFonts w:ascii="Arial" w:cs="Arial" w:eastAsia="Arial" w:hAnsi="Arial"/>
                <w:sz w:val="15"/>
                <w:szCs w:val="15"/>
                <w:b w:val="1"/>
                <w:bCs w:val="1"/>
                <w:color w:val="auto"/>
              </w:rPr>
              <w:t>Price</w:t>
            </w:r>
          </w:p>
        </w:tc>
        <w:tc>
          <w:tcPr>
            <w:tcW w:w="146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Price</w:t>
            </w:r>
          </w:p>
        </w:tc>
        <w:tc>
          <w:tcPr>
            <w:tcW w:w="130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(years)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Volatility</w:t>
            </w:r>
          </w:p>
        </w:tc>
        <w:tc>
          <w:tcPr>
            <w:tcW w:w="148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b w:val="1"/>
                <w:bCs w:val="1"/>
                <w:color w:val="auto"/>
              </w:rPr>
              <w:t>Rate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Value</w:t>
            </w:r>
          </w:p>
        </w:tc>
      </w:tr>
      <w:tr>
        <w:trPr>
          <w:trHeight w:val="228"/>
        </w:trPr>
        <w:tc>
          <w:tcPr>
            <w:tcW w:w="1540" w:type="dxa"/>
            <w:vAlign w:val="bottom"/>
            <w:shd w:val="clear" w:color="auto" w:fill="DFE4EA"/>
          </w:tcPr>
          <w:p>
            <w:pPr>
              <w:ind w:left="40"/>
              <w:spacing w:after="0"/>
              <w:rPr>
                <w:sz w:val="20"/>
                <w:szCs w:val="20"/>
                <w:color w:val="auto"/>
              </w:rPr>
            </w:pPr>
            <w:r>
              <w:rPr>
                <w:rFonts w:ascii="Arial" w:cs="Arial" w:eastAsia="Arial" w:hAnsi="Arial"/>
                <w:sz w:val="15"/>
                <w:szCs w:val="15"/>
                <w:color w:val="auto"/>
              </w:rPr>
              <w:t>Year-end 2024</w:t>
            </w:r>
          </w:p>
        </w:tc>
        <w:tc>
          <w:tcPr>
            <w:tcW w:w="1560" w:type="dxa"/>
            <w:vAlign w:val="bottom"/>
            <w:shd w:val="clear" w:color="auto" w:fill="DFE4EA"/>
          </w:tcPr>
          <w:p>
            <w:pPr>
              <w:jc w:val="center"/>
              <w:ind w:left="83"/>
              <w:spacing w:after="0"/>
              <w:rPr>
                <w:sz w:val="20"/>
                <w:szCs w:val="20"/>
                <w:color w:val="auto"/>
              </w:rPr>
            </w:pPr>
            <w:r>
              <w:rPr>
                <w:rFonts w:ascii="Arial" w:cs="Arial" w:eastAsia="Arial" w:hAnsi="Arial"/>
                <w:sz w:val="15"/>
                <w:szCs w:val="15"/>
                <w:color w:val="auto"/>
              </w:rPr>
              <w:t>$28.59</w:t>
            </w:r>
          </w:p>
        </w:tc>
        <w:tc>
          <w:tcPr>
            <w:tcW w:w="1460" w:type="dxa"/>
            <w:vAlign w:val="bottom"/>
            <w:shd w:val="clear" w:color="auto" w:fill="DFE4EA"/>
          </w:tcPr>
          <w:p>
            <w:pPr>
              <w:jc w:val="center"/>
              <w:ind w:right="3"/>
              <w:spacing w:after="0"/>
              <w:rPr>
                <w:sz w:val="20"/>
                <w:szCs w:val="20"/>
                <w:color w:val="auto"/>
              </w:rPr>
            </w:pPr>
            <w:r>
              <w:rPr>
                <w:rFonts w:ascii="Arial" w:cs="Arial" w:eastAsia="Arial" w:hAnsi="Arial"/>
                <w:sz w:val="15"/>
                <w:szCs w:val="15"/>
                <w:color w:val="auto"/>
              </w:rPr>
              <w:t>$11.03 - $18.44</w:t>
            </w:r>
          </w:p>
        </w:tc>
        <w:tc>
          <w:tcPr>
            <w:tcW w:w="1300" w:type="dxa"/>
            <w:vAlign w:val="bottom"/>
            <w:shd w:val="clear" w:color="auto" w:fill="DFE4EA"/>
          </w:tcPr>
          <w:p>
            <w:pPr>
              <w:jc w:val="center"/>
              <w:ind w:right="3"/>
              <w:spacing w:after="0"/>
              <w:rPr>
                <w:sz w:val="20"/>
                <w:szCs w:val="20"/>
                <w:color w:val="auto"/>
              </w:rPr>
            </w:pPr>
            <w:r>
              <w:rPr>
                <w:rFonts w:ascii="Arial" w:cs="Arial" w:eastAsia="Arial" w:hAnsi="Arial"/>
                <w:sz w:val="15"/>
                <w:szCs w:val="15"/>
                <w:color w:val="auto"/>
              </w:rPr>
              <w:t>2.15 - 3.93</w:t>
            </w:r>
          </w:p>
        </w:tc>
        <w:tc>
          <w:tcPr>
            <w:tcW w:w="124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9"/>
              </w:rPr>
              <w:t>45%</w:t>
            </w:r>
          </w:p>
        </w:tc>
        <w:tc>
          <w:tcPr>
            <w:tcW w:w="1480" w:type="dxa"/>
            <w:vAlign w:val="bottom"/>
            <w:shd w:val="clear" w:color="auto" w:fill="DFE4EA"/>
          </w:tcPr>
          <w:p>
            <w:pPr>
              <w:jc w:val="center"/>
              <w:ind w:left="23"/>
              <w:spacing w:after="0"/>
              <w:rPr>
                <w:sz w:val="20"/>
                <w:szCs w:val="20"/>
                <w:color w:val="auto"/>
              </w:rPr>
            </w:pPr>
            <w:r>
              <w:rPr>
                <w:rFonts w:ascii="Arial" w:cs="Arial" w:eastAsia="Arial" w:hAnsi="Arial"/>
                <w:sz w:val="15"/>
                <w:szCs w:val="15"/>
                <w:color w:val="auto"/>
              </w:rPr>
              <w:t>4.25% - 4.32%</w:t>
            </w:r>
          </w:p>
        </w:tc>
        <w:tc>
          <w:tcPr>
            <w:tcW w:w="14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$13.41 - $19.23</w:t>
            </w:r>
          </w:p>
        </w:tc>
      </w:tr>
      <w:tr>
        <w:trPr>
          <w:trHeight w:val="216"/>
        </w:trPr>
        <w:tc>
          <w:tcPr>
            <w:tcW w:w="1540" w:type="dxa"/>
            <w:vAlign w:val="bottom"/>
          </w:tcPr>
          <w:p>
            <w:pPr>
              <w:ind w:left="40"/>
              <w:spacing w:after="0"/>
              <w:rPr>
                <w:sz w:val="20"/>
                <w:szCs w:val="20"/>
                <w:color w:val="auto"/>
              </w:rPr>
            </w:pPr>
            <w:r>
              <w:rPr>
                <w:rFonts w:ascii="Arial" w:cs="Arial" w:eastAsia="Arial" w:hAnsi="Arial"/>
                <w:sz w:val="15"/>
                <w:szCs w:val="15"/>
                <w:color w:val="auto"/>
              </w:rPr>
              <w:t>2025 Vesting</w:t>
            </w:r>
          </w:p>
        </w:tc>
        <w:tc>
          <w:tcPr>
            <w:tcW w:w="1560" w:type="dxa"/>
            <w:vAlign w:val="bottom"/>
          </w:tcPr>
          <w:p>
            <w:pPr>
              <w:jc w:val="center"/>
              <w:ind w:left="83"/>
              <w:spacing w:after="0"/>
              <w:rPr>
                <w:sz w:val="20"/>
                <w:szCs w:val="20"/>
                <w:color w:val="auto"/>
              </w:rPr>
            </w:pPr>
            <w:r>
              <w:rPr>
                <w:rFonts w:ascii="Arial" w:cs="Arial" w:eastAsia="Arial" w:hAnsi="Arial"/>
                <w:sz w:val="15"/>
                <w:szCs w:val="15"/>
                <w:color w:val="auto"/>
              </w:rPr>
              <w:t>$28.26 - $44.87</w:t>
            </w:r>
          </w:p>
        </w:tc>
        <w:tc>
          <w:tcPr>
            <w:tcW w:w="1460" w:type="dxa"/>
            <w:vAlign w:val="bottom"/>
          </w:tcPr>
          <w:p>
            <w:pPr>
              <w:jc w:val="center"/>
              <w:ind w:right="3"/>
              <w:spacing w:after="0"/>
              <w:rPr>
                <w:sz w:val="20"/>
                <w:szCs w:val="20"/>
                <w:color w:val="auto"/>
              </w:rPr>
            </w:pPr>
            <w:r>
              <w:rPr>
                <w:rFonts w:ascii="Arial" w:cs="Arial" w:eastAsia="Arial" w:hAnsi="Arial"/>
                <w:sz w:val="15"/>
                <w:szCs w:val="15"/>
                <w:color w:val="auto"/>
              </w:rPr>
              <w:t>$11.03 - $18.44</w:t>
            </w:r>
          </w:p>
        </w:tc>
        <w:tc>
          <w:tcPr>
            <w:tcW w:w="1300" w:type="dxa"/>
            <w:vAlign w:val="bottom"/>
          </w:tcPr>
          <w:p>
            <w:pPr>
              <w:jc w:val="center"/>
              <w:ind w:right="3"/>
              <w:spacing w:after="0"/>
              <w:rPr>
                <w:sz w:val="20"/>
                <w:szCs w:val="20"/>
                <w:color w:val="auto"/>
              </w:rPr>
            </w:pPr>
            <w:r>
              <w:rPr>
                <w:rFonts w:ascii="Arial" w:cs="Arial" w:eastAsia="Arial" w:hAnsi="Arial"/>
                <w:sz w:val="15"/>
                <w:szCs w:val="15"/>
                <w:color w:val="auto"/>
              </w:rPr>
              <w:t>2.00 - 2.50</w:t>
            </w:r>
          </w:p>
        </w:tc>
        <w:tc>
          <w:tcPr>
            <w:tcW w:w="1240" w:type="dxa"/>
            <w:vAlign w:val="bottom"/>
          </w:tcPr>
          <w:p>
            <w:pPr>
              <w:jc w:val="center"/>
              <w:spacing w:after="0"/>
              <w:rPr>
                <w:sz w:val="20"/>
                <w:szCs w:val="20"/>
                <w:color w:val="auto"/>
              </w:rPr>
            </w:pPr>
            <w:r>
              <w:rPr>
                <w:rFonts w:ascii="Arial" w:cs="Arial" w:eastAsia="Arial" w:hAnsi="Arial"/>
                <w:sz w:val="15"/>
                <w:szCs w:val="15"/>
                <w:color w:val="auto"/>
                <w:w w:val="99"/>
              </w:rPr>
              <w:t>45%</w:t>
            </w:r>
          </w:p>
        </w:tc>
        <w:tc>
          <w:tcPr>
            <w:tcW w:w="1480" w:type="dxa"/>
            <w:vAlign w:val="bottom"/>
          </w:tcPr>
          <w:p>
            <w:pPr>
              <w:jc w:val="center"/>
              <w:ind w:left="23"/>
              <w:spacing w:after="0"/>
              <w:rPr>
                <w:sz w:val="20"/>
                <w:szCs w:val="20"/>
                <w:color w:val="auto"/>
              </w:rPr>
            </w:pPr>
            <w:r>
              <w:rPr>
                <w:rFonts w:ascii="Arial" w:cs="Arial" w:eastAsia="Arial" w:hAnsi="Arial"/>
                <w:sz w:val="15"/>
                <w:szCs w:val="15"/>
                <w:color w:val="auto"/>
              </w:rPr>
              <w:t>4.40% - 4.62%</w:t>
            </w:r>
          </w:p>
        </w:tc>
        <w:tc>
          <w:tcPr>
            <w:tcW w:w="1440" w:type="dxa"/>
            <w:vAlign w:val="bottom"/>
          </w:tcPr>
          <w:p>
            <w:pPr>
              <w:jc w:val="center"/>
              <w:spacing w:after="0"/>
              <w:rPr>
                <w:sz w:val="20"/>
                <w:szCs w:val="20"/>
                <w:color w:val="auto"/>
              </w:rPr>
            </w:pPr>
            <w:r>
              <w:rPr>
                <w:rFonts w:ascii="Arial" w:cs="Arial" w:eastAsia="Arial" w:hAnsi="Arial"/>
                <w:sz w:val="15"/>
                <w:szCs w:val="15"/>
                <w:color w:val="auto"/>
              </w:rPr>
              <w:t>$12.90 - $34.63</w:t>
            </w:r>
          </w:p>
        </w:tc>
      </w:tr>
      <w:tr>
        <w:trPr>
          <w:trHeight w:val="224"/>
        </w:trPr>
        <w:tc>
          <w:tcPr>
            <w:tcW w:w="1540" w:type="dxa"/>
            <w:vAlign w:val="bottom"/>
            <w:shd w:val="clear" w:color="auto" w:fill="DFE4EA"/>
          </w:tcPr>
          <w:p>
            <w:pPr>
              <w:ind w:left="40"/>
              <w:spacing w:after="0"/>
              <w:rPr>
                <w:sz w:val="20"/>
                <w:szCs w:val="20"/>
                <w:color w:val="auto"/>
              </w:rPr>
            </w:pPr>
            <w:r>
              <w:rPr>
                <w:rFonts w:ascii="Arial" w:cs="Arial" w:eastAsia="Arial" w:hAnsi="Arial"/>
                <w:sz w:val="15"/>
                <w:szCs w:val="15"/>
                <w:color w:val="auto"/>
              </w:rPr>
              <w:t>Year-end 2025</w:t>
            </w:r>
          </w:p>
        </w:tc>
        <w:tc>
          <w:tcPr>
            <w:tcW w:w="1560" w:type="dxa"/>
            <w:vAlign w:val="bottom"/>
            <w:shd w:val="clear" w:color="auto" w:fill="DFE4EA"/>
          </w:tcPr>
          <w:p>
            <w:pPr>
              <w:jc w:val="center"/>
              <w:ind w:left="83"/>
              <w:spacing w:after="0"/>
              <w:rPr>
                <w:sz w:val="20"/>
                <w:szCs w:val="20"/>
                <w:color w:val="auto"/>
              </w:rPr>
            </w:pPr>
            <w:r>
              <w:rPr>
                <w:rFonts w:ascii="Arial" w:cs="Arial" w:eastAsia="Arial" w:hAnsi="Arial"/>
                <w:sz w:val="15"/>
                <w:szCs w:val="15"/>
                <w:color w:val="auto"/>
              </w:rPr>
              <w:t>$45.61</w:t>
            </w:r>
          </w:p>
        </w:tc>
        <w:tc>
          <w:tcPr>
            <w:tcW w:w="1460" w:type="dxa"/>
            <w:vAlign w:val="bottom"/>
            <w:shd w:val="clear" w:color="auto" w:fill="DFE4EA"/>
          </w:tcPr>
          <w:p>
            <w:pPr>
              <w:jc w:val="center"/>
              <w:ind w:right="3"/>
              <w:spacing w:after="0"/>
              <w:rPr>
                <w:sz w:val="20"/>
                <w:szCs w:val="20"/>
                <w:color w:val="auto"/>
              </w:rPr>
            </w:pPr>
            <w:r>
              <w:rPr>
                <w:rFonts w:ascii="Arial" w:cs="Arial" w:eastAsia="Arial" w:hAnsi="Arial"/>
                <w:sz w:val="15"/>
                <w:szCs w:val="15"/>
                <w:color w:val="auto"/>
              </w:rPr>
              <w:t>$17.83</w:t>
            </w:r>
          </w:p>
        </w:tc>
        <w:tc>
          <w:tcPr>
            <w:tcW w:w="1300" w:type="dxa"/>
            <w:vAlign w:val="bottom"/>
            <w:shd w:val="clear" w:color="auto" w:fill="DFE4EA"/>
          </w:tcPr>
          <w:p>
            <w:pPr>
              <w:jc w:val="center"/>
              <w:ind w:right="3"/>
              <w:spacing w:after="0"/>
              <w:rPr>
                <w:sz w:val="20"/>
                <w:szCs w:val="20"/>
                <w:color w:val="auto"/>
              </w:rPr>
            </w:pPr>
            <w:r>
              <w:rPr>
                <w:rFonts w:ascii="Arial" w:cs="Arial" w:eastAsia="Arial" w:hAnsi="Arial"/>
                <w:sz w:val="15"/>
                <w:szCs w:val="15"/>
                <w:color w:val="auto"/>
              </w:rPr>
              <w:t>2.93</w:t>
            </w:r>
          </w:p>
        </w:tc>
        <w:tc>
          <w:tcPr>
            <w:tcW w:w="1240" w:type="dxa"/>
            <w:vAlign w:val="bottom"/>
            <w:shd w:val="clear" w:color="auto" w:fill="DFE4EA"/>
          </w:tcPr>
          <w:p>
            <w:pPr>
              <w:jc w:val="center"/>
              <w:spacing w:after="0"/>
              <w:rPr>
                <w:sz w:val="20"/>
                <w:szCs w:val="20"/>
                <w:color w:val="auto"/>
              </w:rPr>
            </w:pPr>
            <w:r>
              <w:rPr>
                <w:rFonts w:ascii="Arial" w:cs="Arial" w:eastAsia="Arial" w:hAnsi="Arial"/>
                <w:sz w:val="15"/>
                <w:szCs w:val="15"/>
                <w:color w:val="auto"/>
                <w:w w:val="99"/>
              </w:rPr>
              <w:t>45%</w:t>
            </w:r>
          </w:p>
        </w:tc>
        <w:tc>
          <w:tcPr>
            <w:tcW w:w="1480" w:type="dxa"/>
            <w:vAlign w:val="bottom"/>
            <w:shd w:val="clear" w:color="auto" w:fill="DFE4EA"/>
          </w:tcPr>
          <w:p>
            <w:pPr>
              <w:jc w:val="center"/>
              <w:ind w:left="3"/>
              <w:spacing w:after="0"/>
              <w:rPr>
                <w:sz w:val="20"/>
                <w:szCs w:val="20"/>
                <w:color w:val="auto"/>
              </w:rPr>
            </w:pPr>
            <w:r>
              <w:rPr>
                <w:rFonts w:ascii="Arial" w:cs="Arial" w:eastAsia="Arial" w:hAnsi="Arial"/>
                <w:sz w:val="15"/>
                <w:szCs w:val="15"/>
                <w:color w:val="auto"/>
              </w:rPr>
              <w:t>3.54%</w:t>
            </w:r>
          </w:p>
        </w:tc>
        <w:tc>
          <w:tcPr>
            <w:tcW w:w="14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$30.32</w:t>
            </w:r>
          </w:p>
        </w:tc>
      </w:tr>
    </w:tbl>
    <w:p>
      <w:pPr>
        <w:spacing w:after="0" w:line="200" w:lineRule="exact"/>
        <w:rPr>
          <w:sz w:val="20"/>
          <w:szCs w:val="20"/>
          <w:color w:val="auto"/>
        </w:rPr>
      </w:pPr>
    </w:p>
    <w:p>
      <w:pPr>
        <w:sectPr>
          <w:pgSz w:w="11900" w:h="16838" w:orient="portrait"/>
          <w:cols w:equalWidth="0" w:num="1">
            <w:col w:w="11347"/>
          </w:cols>
          <w:pgMar w:left="313" w:top="2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7"/>
        <w:spacing w:after="0"/>
        <w:tabs>
          <w:tab w:leader="none" w:pos="5587"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435610</wp:posOffset>
            </wp:positionV>
            <wp:extent cx="7205345"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1347"/>
          </w:cols>
          <w:pgMar w:left="313" w:top="205" w:right="239" w:bottom="1440" w:gutter="0" w:footer="0" w:header="0"/>
          <w:type w:val="continuous"/>
        </w:sectPr>
      </w:pPr>
    </w:p>
    <w:bookmarkStart w:id="63" w:name="page64"/>
    <w:bookmarkEnd w:id="63"/>
    <w:p>
      <w:pPr>
        <w:ind w:right="2079"/>
        <w:spacing w:after="0" w:line="272" w:lineRule="auto"/>
        <w:rPr>
          <w:sz w:val="20"/>
          <w:szCs w:val="20"/>
          <w:color w:val="auto"/>
        </w:rPr>
      </w:pPr>
      <w:r>
        <w:rPr>
          <w:rFonts w:ascii="Arial" w:cs="Arial" w:eastAsia="Arial" w:hAnsi="Arial"/>
          <w:sz w:val="17"/>
          <w:szCs w:val="17"/>
          <w:b w:val="1"/>
          <w:bCs w:val="1"/>
          <w:i w:val="1"/>
          <w:iCs w:val="1"/>
          <w:color w:val="auto"/>
        </w:rPr>
        <w:t>Relationships Between Compensation Actually Paid (CAP) and TSR, Net Income, and AORT Revenue Growth</w:t>
      </w:r>
    </w:p>
    <w:p>
      <w:pPr>
        <w:spacing w:after="0" w:line="51"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153670</wp:posOffset>
            </wp:positionV>
            <wp:extent cx="5057775" cy="258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57775" cy="258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27940</wp:posOffset>
            </wp:positionV>
            <wp:extent cx="5057775" cy="5308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57775" cy="5308600"/>
                    </a:xfrm>
                    <a:prstGeom prst="rect">
                      <a:avLst/>
                    </a:prstGeom>
                    <a:noFill/>
                  </pic:spPr>
                </pic:pic>
              </a:graphicData>
            </a:graphic>
          </wp:anchor>
        </w:drawing>
      </w:r>
    </w:p>
    <w:p>
      <w:pPr>
        <w:sectPr>
          <w:pgSz w:w="11900" w:h="16838" w:orient="portrait"/>
          <w:cols w:equalWidth="0" w:num="1">
            <w:col w:w="9479"/>
          </w:cols>
          <w:pgMar w:left="980" w:top="8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9479"/>
          </w:cols>
          <w:pgMar w:left="980" w:top="874"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Most Important Financial Measures Related to 2025 Officer Compensation</w:t>
      </w:r>
    </w:p>
    <w:p>
      <w:pPr>
        <w:spacing w:after="0" w:line="110"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In accordance with the Pay Versus Performance Rules, the following table lists the financial performance measures that, in the Company’s assessment, represent the most important financial performance measures used to link “compensation actually paid” to our Named Executive Officers, for fiscal year 2025, to Company performance. As discussed in the Compensation Discussion and Analysis, the annual short-term incentive plan used constant currency revenue growth and constant currency adjusted EBITDA as the primary financial measures for 2025. Annual PSUs granted during 2025 also were earned based on constant currency revenue growth and constant currency adjusted EBITDA.</w:t>
      </w:r>
    </w:p>
    <w:p>
      <w:pPr>
        <w:spacing w:after="0" w:line="144"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Key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11430</wp:posOffset>
            </wp:positionV>
            <wp:extent cx="282829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28290" cy="762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33655</wp:posOffset>
            </wp:positionV>
            <wp:extent cx="2828290" cy="139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28290" cy="139700"/>
                    </a:xfrm>
                    <a:prstGeom prst="rect">
                      <a:avLst/>
                    </a:prstGeom>
                    <a:noFill/>
                  </pic:spPr>
                </pic:pic>
              </a:graphicData>
            </a:graphic>
          </wp:anchor>
        </w:drawing>
      </w:r>
    </w:p>
    <w:p>
      <w:pPr>
        <w:spacing w:after="0" w:line="41" w:lineRule="exact"/>
        <w:rPr>
          <w:sz w:val="20"/>
          <w:szCs w:val="20"/>
          <w:color w:val="auto"/>
        </w:rPr>
      </w:pPr>
    </w:p>
    <w:p>
      <w:pPr>
        <w:ind w:left="3520"/>
        <w:spacing w:after="0"/>
        <w:rPr>
          <w:sz w:val="20"/>
          <w:szCs w:val="20"/>
          <w:color w:val="auto"/>
        </w:rPr>
      </w:pPr>
      <w:r>
        <w:rPr>
          <w:rFonts w:ascii="Arial" w:cs="Arial" w:eastAsia="Arial" w:hAnsi="Arial"/>
          <w:sz w:val="15"/>
          <w:szCs w:val="15"/>
          <w:color w:val="auto"/>
        </w:rPr>
        <w:t>AORT Revenue Growth (constant currency)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Adjusted EBITDA (constant currency)</w:t>
      </w:r>
    </w:p>
    <w:p>
      <w:pPr>
        <w:sectPr>
          <w:pgSz w:w="11900" w:h="16838" w:orient="portrait"/>
          <w:cols w:equalWidth="0" w:num="1">
            <w:col w:w="10020"/>
          </w:cols>
          <w:pgMar w:left="980" w:top="87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4" w:right="8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9"/>
          <w:szCs w:val="19"/>
          <w:b w:val="1"/>
          <w:bCs w:val="1"/>
          <w:color w:val="2B4B74"/>
        </w:rPr>
        <w:t>CERTAIN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right="20" w:firstLine="334"/>
        <w:spacing w:after="0" w:line="247" w:lineRule="auto"/>
        <w:rPr>
          <w:sz w:val="20"/>
          <w:szCs w:val="20"/>
          <w:color w:val="auto"/>
        </w:rPr>
      </w:pPr>
      <w:r>
        <w:rPr>
          <w:rFonts w:ascii="Arial" w:cs="Arial" w:eastAsia="Arial" w:hAnsi="Arial"/>
          <w:sz w:val="15"/>
          <w:szCs w:val="15"/>
          <w:color w:val="auto"/>
        </w:rPr>
        <w:t>The name and business address of each person or entity who beneficially owned more than 5% of the outstanding shares of common stock of Artivion on March 16, 2026, based on information available to us, together with the number of shares owned and the percentage of outstanding shares that ownership represents, is set forth in the following table. The table also shows information concerning beneficial ownership by the Named Executive Officers and by all current non-employee directors and officers as a group. The number of shares beneficially owned is determined under the rules of the SEC, and the information is not necessarily indicative of beneficial ownership for any other purpose. Under those rules, beneficial ownership includes any shares as to which the individual has sole or shared voting power or investment power and also any shares that the individual has the right to acquire within 60 days after March 16, 2026, through the exercise of any stock option or other right. Unless otherwise indicated, each person has sole investment and voting powers, or shares such powers with his or her spouse, with respect to the shares set forth in the following table. To Artivion’s knowledge, none of the shares shown in the table below is subject to a pledge or similar arrangement.</w:t>
      </w:r>
    </w:p>
    <w:p>
      <w:pPr>
        <w:spacing w:after="0" w:line="293" w:lineRule="exact"/>
        <w:rPr>
          <w:sz w:val="20"/>
          <w:szCs w:val="20"/>
          <w:color w:val="auto"/>
        </w:rPr>
      </w:pPr>
    </w:p>
    <w:p>
      <w:pPr>
        <w:jc w:val="both"/>
        <w:ind w:right="20" w:firstLine="334"/>
        <w:spacing w:after="0" w:line="285" w:lineRule="auto"/>
        <w:rPr>
          <w:sz w:val="20"/>
          <w:szCs w:val="20"/>
          <w:color w:val="auto"/>
        </w:rPr>
      </w:pPr>
      <w:r>
        <w:rPr>
          <w:rFonts w:ascii="Arial" w:cs="Arial" w:eastAsia="Arial" w:hAnsi="Arial"/>
          <w:sz w:val="15"/>
          <w:szCs w:val="15"/>
          <w:color w:val="auto"/>
        </w:rPr>
        <w:t>The beneficial ownership percentages set forth in the table below are based on 48,495,993 shares of common stock issued and outstanding as of March 16, 2026.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5"/>
                <w:szCs w:val="15"/>
                <w:b w:val="1"/>
                <w:bCs w:val="1"/>
                <w:color w:val="auto"/>
              </w:rPr>
              <w:t>Number of Shares</w:t>
            </w:r>
          </w:p>
        </w:tc>
        <w:tc>
          <w:tcPr>
            <w:tcW w:w="2240" w:type="dxa"/>
            <w:vAlign w:val="bottom"/>
          </w:tcPr>
          <w:p>
            <w:pPr>
              <w:spacing w:after="0"/>
              <w:rPr>
                <w:sz w:val="15"/>
                <w:szCs w:val="15"/>
                <w:color w:val="auto"/>
              </w:rPr>
            </w:pPr>
          </w:p>
        </w:tc>
      </w:tr>
      <w:tr>
        <w:trPr>
          <w:trHeight w:val="174"/>
        </w:trPr>
        <w:tc>
          <w:tcPr>
            <w:tcW w:w="57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5"/>
                <w:szCs w:val="15"/>
                <w:b w:val="1"/>
                <w:bCs w:val="1"/>
                <w:color w:val="auto"/>
              </w:rPr>
              <w:t>of Artivion</w:t>
            </w:r>
          </w:p>
        </w:tc>
        <w:tc>
          <w:tcPr>
            <w:tcW w:w="2240" w:type="dxa"/>
            <w:vAlign w:val="bottom"/>
          </w:tcPr>
          <w:p>
            <w:pPr>
              <w:jc w:val="center"/>
              <w:spacing w:after="0"/>
              <w:rPr>
                <w:sz w:val="20"/>
                <w:szCs w:val="20"/>
                <w:color w:val="auto"/>
              </w:rPr>
            </w:pPr>
            <w:r>
              <w:rPr>
                <w:rFonts w:ascii="Arial" w:cs="Arial" w:eastAsia="Arial" w:hAnsi="Arial"/>
                <w:sz w:val="15"/>
                <w:szCs w:val="15"/>
                <w:b w:val="1"/>
                <w:bCs w:val="1"/>
                <w:color w:val="auto"/>
              </w:rPr>
              <w:t>Percentage of</w:t>
            </w:r>
          </w:p>
        </w:tc>
      </w:tr>
      <w:tr>
        <w:trPr>
          <w:trHeight w:val="174"/>
        </w:trPr>
        <w:tc>
          <w:tcPr>
            <w:tcW w:w="57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5"/>
                <w:szCs w:val="15"/>
                <w:b w:val="1"/>
                <w:bCs w:val="1"/>
                <w:color w:val="auto"/>
              </w:rPr>
              <w:t>Common Stock</w:t>
            </w:r>
          </w:p>
        </w:tc>
        <w:tc>
          <w:tcPr>
            <w:tcW w:w="2240" w:type="dxa"/>
            <w:vAlign w:val="bottom"/>
          </w:tcPr>
          <w:p>
            <w:pPr>
              <w:jc w:val="center"/>
              <w:spacing w:after="0"/>
              <w:rPr>
                <w:sz w:val="20"/>
                <w:szCs w:val="20"/>
                <w:color w:val="auto"/>
              </w:rPr>
            </w:pPr>
            <w:r>
              <w:rPr>
                <w:rFonts w:ascii="Arial" w:cs="Arial" w:eastAsia="Arial" w:hAnsi="Arial"/>
                <w:sz w:val="15"/>
                <w:szCs w:val="15"/>
                <w:b w:val="1"/>
                <w:bCs w:val="1"/>
                <w:color w:val="auto"/>
              </w:rPr>
              <w:t>Outstanding Shares</w:t>
            </w:r>
          </w:p>
        </w:tc>
      </w:tr>
      <w:tr>
        <w:trPr>
          <w:trHeight w:val="174"/>
        </w:trPr>
        <w:tc>
          <w:tcPr>
            <w:tcW w:w="57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5"/>
                <w:szCs w:val="15"/>
                <w:b w:val="1"/>
                <w:bCs w:val="1"/>
                <w:color w:val="auto"/>
              </w:rPr>
              <w:t>Beneficially</w:t>
            </w:r>
          </w:p>
        </w:tc>
        <w:tc>
          <w:tcPr>
            <w:tcW w:w="2240" w:type="dxa"/>
            <w:vAlign w:val="bottom"/>
          </w:tcPr>
          <w:p>
            <w:pPr>
              <w:jc w:val="center"/>
              <w:spacing w:after="0"/>
              <w:rPr>
                <w:sz w:val="20"/>
                <w:szCs w:val="20"/>
                <w:color w:val="auto"/>
              </w:rPr>
            </w:pPr>
            <w:r>
              <w:rPr>
                <w:rFonts w:ascii="Arial" w:cs="Arial" w:eastAsia="Arial" w:hAnsi="Arial"/>
                <w:sz w:val="15"/>
                <w:szCs w:val="15"/>
                <w:b w:val="1"/>
                <w:bCs w:val="1"/>
                <w:color w:val="auto"/>
              </w:rPr>
              <w:t>of Artivion</w:t>
            </w:r>
          </w:p>
        </w:tc>
      </w:tr>
      <w:tr>
        <w:trPr>
          <w:trHeight w:val="198"/>
        </w:trPr>
        <w:tc>
          <w:tcPr>
            <w:tcW w:w="5740" w:type="dxa"/>
            <w:vAlign w:val="bottom"/>
            <w:tcBorders>
              <w:bottom w:val="single" w:sz="8" w:color="auto"/>
            </w:tcBorders>
          </w:tcPr>
          <w:p>
            <w:pPr>
              <w:ind w:left="2300"/>
              <w:spacing w:after="0"/>
              <w:rPr>
                <w:sz w:val="20"/>
                <w:szCs w:val="20"/>
                <w:color w:val="auto"/>
              </w:rPr>
            </w:pPr>
            <w:r>
              <w:rPr>
                <w:rFonts w:ascii="Arial" w:cs="Arial" w:eastAsia="Arial" w:hAnsi="Arial"/>
                <w:sz w:val="15"/>
                <w:szCs w:val="15"/>
                <w:b w:val="1"/>
                <w:bCs w:val="1"/>
                <w:color w:val="auto"/>
              </w:rPr>
              <w:t>Beneficial Owner</w:t>
            </w:r>
          </w:p>
        </w:tc>
        <w:tc>
          <w:tcPr>
            <w:tcW w:w="2060" w:type="dxa"/>
            <w:vAlign w:val="bottom"/>
            <w:tcBorders>
              <w:bottom w:val="single" w:sz="8" w:color="auto"/>
            </w:tcBorders>
          </w:tcPr>
          <w:p>
            <w:pPr>
              <w:jc w:val="center"/>
              <w:ind w:left="3"/>
              <w:spacing w:after="0"/>
              <w:rPr>
                <w:sz w:val="20"/>
                <w:szCs w:val="20"/>
                <w:color w:val="auto"/>
              </w:rPr>
            </w:pPr>
            <w:r>
              <w:rPr>
                <w:rFonts w:ascii="Arial" w:cs="Arial" w:eastAsia="Arial" w:hAnsi="Arial"/>
                <w:sz w:val="15"/>
                <w:szCs w:val="15"/>
                <w:b w:val="1"/>
                <w:bCs w:val="1"/>
                <w:color w:val="auto"/>
              </w:rPr>
              <w:t>Owned (#)</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Common Stock (%)</w:t>
            </w:r>
          </w:p>
        </w:tc>
      </w:tr>
      <w:tr>
        <w:trPr>
          <w:trHeight w:val="251"/>
        </w:trPr>
        <w:tc>
          <w:tcPr>
            <w:tcW w:w="5740" w:type="dxa"/>
            <w:vAlign w:val="bottom"/>
            <w:shd w:val="clear" w:color="auto" w:fill="DFE4EA"/>
          </w:tcPr>
          <w:p>
            <w:pPr>
              <w:spacing w:after="0"/>
              <w:rPr>
                <w:sz w:val="20"/>
                <w:szCs w:val="20"/>
                <w:color w:val="auto"/>
              </w:rPr>
            </w:pPr>
            <w:r>
              <w:rPr>
                <w:rFonts w:ascii="Arial" w:cs="Arial" w:eastAsia="Arial" w:hAnsi="Arial"/>
                <w:sz w:val="15"/>
                <w:szCs w:val="15"/>
                <w:color w:val="auto"/>
              </w:rPr>
              <w:t>J. Patrick Mackin</w:t>
            </w:r>
          </w:p>
        </w:tc>
        <w:tc>
          <w:tcPr>
            <w:tcW w:w="2060" w:type="dxa"/>
            <w:vAlign w:val="bottom"/>
            <w:shd w:val="clear" w:color="auto" w:fill="DFE4EA"/>
          </w:tcPr>
          <w:p>
            <w:pPr>
              <w:jc w:val="center"/>
              <w:ind w:left="3"/>
              <w:spacing w:after="0" w:line="251" w:lineRule="exact"/>
              <w:rPr>
                <w:sz w:val="20"/>
                <w:szCs w:val="20"/>
                <w:color w:val="auto"/>
              </w:rPr>
            </w:pPr>
            <w:r>
              <w:rPr>
                <w:rFonts w:ascii="Arial" w:cs="Arial" w:eastAsia="Arial" w:hAnsi="Arial"/>
                <w:sz w:val="15"/>
                <w:szCs w:val="15"/>
                <w:color w:val="auto"/>
                <w:w w:val="94"/>
              </w:rPr>
              <w:t>1,417,539</w:t>
            </w:r>
            <w:r>
              <w:rPr>
                <w:rFonts w:ascii="Arial" w:cs="Arial" w:eastAsia="Arial" w:hAnsi="Arial"/>
                <w:sz w:val="24"/>
                <w:szCs w:val="24"/>
                <w:color w:val="auto"/>
                <w:w w:val="94"/>
                <w:vertAlign w:val="superscript"/>
              </w:rPr>
              <w:t>(1)</w:t>
            </w:r>
          </w:p>
        </w:tc>
        <w:tc>
          <w:tcPr>
            <w:tcW w:w="22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2.9</w:t>
            </w:r>
          </w:p>
        </w:tc>
      </w:tr>
      <w:tr>
        <w:trPr>
          <w:trHeight w:val="244"/>
        </w:trPr>
        <w:tc>
          <w:tcPr>
            <w:tcW w:w="5740" w:type="dxa"/>
            <w:vAlign w:val="bottom"/>
          </w:tcPr>
          <w:p>
            <w:pPr>
              <w:spacing w:after="0"/>
              <w:rPr>
                <w:sz w:val="20"/>
                <w:szCs w:val="20"/>
                <w:color w:val="auto"/>
              </w:rPr>
            </w:pPr>
            <w:r>
              <w:rPr>
                <w:rFonts w:ascii="Arial" w:cs="Arial" w:eastAsia="Arial" w:hAnsi="Arial"/>
                <w:sz w:val="15"/>
                <w:szCs w:val="15"/>
                <w:color w:val="auto"/>
              </w:rPr>
              <w:t>Lance A. Berry</w:t>
            </w:r>
          </w:p>
        </w:tc>
        <w:tc>
          <w:tcPr>
            <w:tcW w:w="2060" w:type="dxa"/>
            <w:vAlign w:val="bottom"/>
          </w:tcPr>
          <w:p>
            <w:pPr>
              <w:jc w:val="center"/>
              <w:ind w:left="3"/>
              <w:spacing w:after="0" w:line="243" w:lineRule="exact"/>
              <w:rPr>
                <w:sz w:val="20"/>
                <w:szCs w:val="20"/>
                <w:color w:val="auto"/>
              </w:rPr>
            </w:pPr>
            <w:r>
              <w:rPr>
                <w:rFonts w:ascii="Arial" w:cs="Arial" w:eastAsia="Arial" w:hAnsi="Arial"/>
                <w:sz w:val="15"/>
                <w:szCs w:val="15"/>
                <w:color w:val="auto"/>
                <w:w w:val="94"/>
              </w:rPr>
              <w:t>229,969</w:t>
            </w:r>
            <w:r>
              <w:rPr>
                <w:rFonts w:ascii="Arial" w:cs="Arial" w:eastAsia="Arial" w:hAnsi="Arial"/>
                <w:sz w:val="24"/>
                <w:szCs w:val="24"/>
                <w:color w:val="auto"/>
                <w:w w:val="94"/>
                <w:vertAlign w:val="superscript"/>
              </w:rPr>
              <w:t>(2)</w:t>
            </w:r>
          </w:p>
        </w:tc>
        <w:tc>
          <w:tcPr>
            <w:tcW w:w="22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44"/>
        </w:trPr>
        <w:tc>
          <w:tcPr>
            <w:tcW w:w="5740" w:type="dxa"/>
            <w:vAlign w:val="bottom"/>
            <w:shd w:val="clear" w:color="auto" w:fill="DFE4EA"/>
          </w:tcPr>
          <w:p>
            <w:pPr>
              <w:spacing w:after="0"/>
              <w:rPr>
                <w:sz w:val="20"/>
                <w:szCs w:val="20"/>
                <w:color w:val="auto"/>
              </w:rPr>
            </w:pPr>
            <w:r>
              <w:rPr>
                <w:rFonts w:ascii="Arial" w:cs="Arial" w:eastAsia="Arial" w:hAnsi="Arial"/>
                <w:sz w:val="15"/>
                <w:szCs w:val="15"/>
                <w:color w:val="auto"/>
              </w:rPr>
              <w:t>Jean F. Holloway</w:t>
            </w:r>
          </w:p>
        </w:tc>
        <w:tc>
          <w:tcPr>
            <w:tcW w:w="2060" w:type="dxa"/>
            <w:vAlign w:val="bottom"/>
            <w:shd w:val="clear" w:color="auto" w:fill="DFE4EA"/>
          </w:tcPr>
          <w:p>
            <w:pPr>
              <w:jc w:val="center"/>
              <w:ind w:left="3"/>
              <w:spacing w:after="0" w:line="243" w:lineRule="exact"/>
              <w:rPr>
                <w:sz w:val="20"/>
                <w:szCs w:val="20"/>
                <w:color w:val="auto"/>
              </w:rPr>
            </w:pPr>
            <w:r>
              <w:rPr>
                <w:rFonts w:ascii="Arial" w:cs="Arial" w:eastAsia="Arial" w:hAnsi="Arial"/>
                <w:sz w:val="15"/>
                <w:szCs w:val="15"/>
                <w:color w:val="auto"/>
                <w:w w:val="94"/>
              </w:rPr>
              <w:t>234,416</w:t>
            </w:r>
            <w:r>
              <w:rPr>
                <w:rFonts w:ascii="Arial" w:cs="Arial" w:eastAsia="Arial" w:hAnsi="Arial"/>
                <w:sz w:val="24"/>
                <w:szCs w:val="24"/>
                <w:color w:val="auto"/>
                <w:w w:val="94"/>
                <w:vertAlign w:val="superscript"/>
              </w:rPr>
              <w:t>(3)</w:t>
            </w:r>
          </w:p>
        </w:tc>
        <w:tc>
          <w:tcPr>
            <w:tcW w:w="22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r>
      <w:tr>
        <w:trPr>
          <w:trHeight w:val="244"/>
        </w:trPr>
        <w:tc>
          <w:tcPr>
            <w:tcW w:w="5740" w:type="dxa"/>
            <w:vAlign w:val="bottom"/>
          </w:tcPr>
          <w:p>
            <w:pPr>
              <w:spacing w:after="0"/>
              <w:rPr>
                <w:sz w:val="20"/>
                <w:szCs w:val="20"/>
                <w:color w:val="auto"/>
              </w:rPr>
            </w:pPr>
            <w:r>
              <w:rPr>
                <w:rFonts w:ascii="Arial" w:cs="Arial" w:eastAsia="Arial" w:hAnsi="Arial"/>
                <w:sz w:val="15"/>
                <w:szCs w:val="15"/>
                <w:color w:val="auto"/>
              </w:rPr>
              <w:t>John E. Davis</w:t>
            </w:r>
          </w:p>
        </w:tc>
        <w:tc>
          <w:tcPr>
            <w:tcW w:w="2060" w:type="dxa"/>
            <w:vAlign w:val="bottom"/>
          </w:tcPr>
          <w:p>
            <w:pPr>
              <w:jc w:val="center"/>
              <w:ind w:left="3"/>
              <w:spacing w:after="0" w:line="243" w:lineRule="exact"/>
              <w:rPr>
                <w:sz w:val="20"/>
                <w:szCs w:val="20"/>
                <w:color w:val="auto"/>
              </w:rPr>
            </w:pPr>
            <w:r>
              <w:rPr>
                <w:rFonts w:ascii="Arial" w:cs="Arial" w:eastAsia="Arial" w:hAnsi="Arial"/>
                <w:sz w:val="15"/>
                <w:szCs w:val="15"/>
                <w:color w:val="auto"/>
                <w:w w:val="94"/>
              </w:rPr>
              <w:t>296,411</w:t>
            </w:r>
            <w:r>
              <w:rPr>
                <w:rFonts w:ascii="Arial" w:cs="Arial" w:eastAsia="Arial" w:hAnsi="Arial"/>
                <w:sz w:val="24"/>
                <w:szCs w:val="24"/>
                <w:color w:val="auto"/>
                <w:w w:val="94"/>
                <w:vertAlign w:val="superscript"/>
              </w:rPr>
              <w:t>(4)</w:t>
            </w:r>
          </w:p>
        </w:tc>
        <w:tc>
          <w:tcPr>
            <w:tcW w:w="22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44"/>
        </w:trPr>
        <w:tc>
          <w:tcPr>
            <w:tcW w:w="5740" w:type="dxa"/>
            <w:vAlign w:val="bottom"/>
            <w:shd w:val="clear" w:color="auto" w:fill="DFE4EA"/>
          </w:tcPr>
          <w:p>
            <w:pPr>
              <w:spacing w:after="0"/>
              <w:rPr>
                <w:sz w:val="20"/>
                <w:szCs w:val="20"/>
                <w:color w:val="auto"/>
              </w:rPr>
            </w:pPr>
            <w:r>
              <w:rPr>
                <w:rFonts w:ascii="Arial" w:cs="Arial" w:eastAsia="Arial" w:hAnsi="Arial"/>
                <w:sz w:val="15"/>
                <w:szCs w:val="15"/>
                <w:color w:val="auto"/>
              </w:rPr>
              <w:t>Marshall S. Stanton</w:t>
            </w:r>
          </w:p>
        </w:tc>
        <w:tc>
          <w:tcPr>
            <w:tcW w:w="2060" w:type="dxa"/>
            <w:vAlign w:val="bottom"/>
            <w:shd w:val="clear" w:color="auto" w:fill="DFE4EA"/>
          </w:tcPr>
          <w:p>
            <w:pPr>
              <w:jc w:val="center"/>
              <w:ind w:left="3"/>
              <w:spacing w:after="0" w:line="243" w:lineRule="exact"/>
              <w:rPr>
                <w:sz w:val="20"/>
                <w:szCs w:val="20"/>
                <w:color w:val="auto"/>
              </w:rPr>
            </w:pPr>
            <w:r>
              <w:rPr>
                <w:rFonts w:ascii="Arial" w:cs="Arial" w:eastAsia="Arial" w:hAnsi="Arial"/>
                <w:sz w:val="15"/>
                <w:szCs w:val="15"/>
                <w:color w:val="auto"/>
                <w:w w:val="94"/>
              </w:rPr>
              <w:t>39,127</w:t>
            </w:r>
            <w:r>
              <w:rPr>
                <w:rFonts w:ascii="Arial" w:cs="Arial" w:eastAsia="Arial" w:hAnsi="Arial"/>
                <w:sz w:val="24"/>
                <w:szCs w:val="24"/>
                <w:color w:val="auto"/>
                <w:w w:val="94"/>
                <w:vertAlign w:val="superscript"/>
              </w:rPr>
              <w:t>(5)</w:t>
            </w:r>
          </w:p>
        </w:tc>
        <w:tc>
          <w:tcPr>
            <w:tcW w:w="22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5"/>
                <w:szCs w:val="15"/>
                <w:color w:val="auto"/>
              </w:rPr>
              <w:t>Thomas F. Ackerman</w:t>
            </w:r>
          </w:p>
        </w:tc>
        <w:tc>
          <w:tcPr>
            <w:tcW w:w="2060" w:type="dxa"/>
            <w:vAlign w:val="bottom"/>
          </w:tcPr>
          <w:p>
            <w:pPr>
              <w:jc w:val="center"/>
              <w:spacing w:after="0"/>
              <w:rPr>
                <w:sz w:val="20"/>
                <w:szCs w:val="20"/>
                <w:color w:val="auto"/>
              </w:rPr>
            </w:pPr>
            <w:r>
              <w:rPr>
                <w:rFonts w:ascii="Arial" w:cs="Arial" w:eastAsia="Arial" w:hAnsi="Arial"/>
                <w:sz w:val="15"/>
                <w:szCs w:val="15"/>
                <w:color w:val="auto"/>
              </w:rPr>
              <w:t>149,896</w:t>
            </w:r>
          </w:p>
        </w:tc>
        <w:tc>
          <w:tcPr>
            <w:tcW w:w="22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24"/>
        </w:trPr>
        <w:tc>
          <w:tcPr>
            <w:tcW w:w="5740" w:type="dxa"/>
            <w:vAlign w:val="bottom"/>
            <w:shd w:val="clear" w:color="auto" w:fill="DFE4EA"/>
          </w:tcPr>
          <w:p>
            <w:pPr>
              <w:spacing w:after="0"/>
              <w:rPr>
                <w:sz w:val="20"/>
                <w:szCs w:val="20"/>
                <w:color w:val="auto"/>
              </w:rPr>
            </w:pPr>
            <w:r>
              <w:rPr>
                <w:rFonts w:ascii="Arial" w:cs="Arial" w:eastAsia="Arial" w:hAnsi="Arial"/>
                <w:sz w:val="15"/>
                <w:szCs w:val="15"/>
                <w:color w:val="auto"/>
              </w:rPr>
              <w:t>Daniel J. Bevevino</w:t>
            </w:r>
          </w:p>
        </w:tc>
        <w:tc>
          <w:tcPr>
            <w:tcW w:w="206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150,061</w:t>
            </w:r>
          </w:p>
        </w:tc>
        <w:tc>
          <w:tcPr>
            <w:tcW w:w="22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5"/>
                <w:szCs w:val="15"/>
                <w:color w:val="auto"/>
              </w:rPr>
              <w:t>Marna P. Borgstrom</w:t>
            </w:r>
          </w:p>
        </w:tc>
        <w:tc>
          <w:tcPr>
            <w:tcW w:w="2060" w:type="dxa"/>
            <w:vAlign w:val="bottom"/>
          </w:tcPr>
          <w:p>
            <w:pPr>
              <w:jc w:val="center"/>
              <w:ind w:left="3"/>
              <w:spacing w:after="0"/>
              <w:rPr>
                <w:sz w:val="20"/>
                <w:szCs w:val="20"/>
                <w:color w:val="auto"/>
              </w:rPr>
            </w:pPr>
            <w:r>
              <w:rPr>
                <w:rFonts w:ascii="Arial" w:cs="Arial" w:eastAsia="Arial" w:hAnsi="Arial"/>
                <w:sz w:val="15"/>
                <w:szCs w:val="15"/>
                <w:color w:val="auto"/>
              </w:rPr>
              <w:t>49,088</w:t>
            </w:r>
          </w:p>
        </w:tc>
        <w:tc>
          <w:tcPr>
            <w:tcW w:w="22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24"/>
        </w:trPr>
        <w:tc>
          <w:tcPr>
            <w:tcW w:w="5740" w:type="dxa"/>
            <w:vAlign w:val="bottom"/>
            <w:shd w:val="clear" w:color="auto" w:fill="DFE4EA"/>
          </w:tcPr>
          <w:p>
            <w:pPr>
              <w:spacing w:after="0"/>
              <w:rPr>
                <w:sz w:val="20"/>
                <w:szCs w:val="20"/>
                <w:color w:val="auto"/>
              </w:rPr>
            </w:pPr>
            <w:r>
              <w:rPr>
                <w:rFonts w:ascii="Arial" w:cs="Arial" w:eastAsia="Arial" w:hAnsi="Arial"/>
                <w:sz w:val="15"/>
                <w:szCs w:val="15"/>
                <w:color w:val="auto"/>
              </w:rPr>
              <w:t>James W. Bullock</w:t>
            </w:r>
          </w:p>
        </w:tc>
        <w:tc>
          <w:tcPr>
            <w:tcW w:w="2060" w:type="dxa"/>
            <w:vAlign w:val="bottom"/>
            <w:shd w:val="clear" w:color="auto" w:fill="DFE4EA"/>
          </w:tcPr>
          <w:p>
            <w:pPr>
              <w:jc w:val="center"/>
              <w:ind w:left="3"/>
              <w:spacing w:after="0"/>
              <w:rPr>
                <w:sz w:val="20"/>
                <w:szCs w:val="20"/>
                <w:color w:val="auto"/>
              </w:rPr>
            </w:pPr>
            <w:r>
              <w:rPr>
                <w:rFonts w:ascii="Arial" w:cs="Arial" w:eastAsia="Arial" w:hAnsi="Arial"/>
                <w:sz w:val="15"/>
                <w:szCs w:val="15"/>
                <w:color w:val="auto"/>
              </w:rPr>
              <w:t>68,647</w:t>
            </w:r>
          </w:p>
        </w:tc>
        <w:tc>
          <w:tcPr>
            <w:tcW w:w="22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5"/>
                <w:szCs w:val="15"/>
                <w:color w:val="auto"/>
              </w:rPr>
              <w:t>Jeffrey H. Burbank</w:t>
            </w:r>
          </w:p>
        </w:tc>
        <w:tc>
          <w:tcPr>
            <w:tcW w:w="2060" w:type="dxa"/>
            <w:vAlign w:val="bottom"/>
          </w:tcPr>
          <w:p>
            <w:pPr>
              <w:jc w:val="center"/>
              <w:ind w:left="3"/>
              <w:spacing w:after="0"/>
              <w:rPr>
                <w:sz w:val="20"/>
                <w:szCs w:val="20"/>
                <w:color w:val="auto"/>
              </w:rPr>
            </w:pPr>
            <w:r>
              <w:rPr>
                <w:rFonts w:ascii="Arial" w:cs="Arial" w:eastAsia="Arial" w:hAnsi="Arial"/>
                <w:sz w:val="15"/>
                <w:szCs w:val="15"/>
                <w:color w:val="auto"/>
              </w:rPr>
              <w:t>53,796</w:t>
            </w:r>
          </w:p>
        </w:tc>
        <w:tc>
          <w:tcPr>
            <w:tcW w:w="22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24"/>
        </w:trPr>
        <w:tc>
          <w:tcPr>
            <w:tcW w:w="5740" w:type="dxa"/>
            <w:vAlign w:val="bottom"/>
            <w:shd w:val="clear" w:color="auto" w:fill="DFE4EA"/>
          </w:tcPr>
          <w:p>
            <w:pPr>
              <w:spacing w:after="0"/>
              <w:rPr>
                <w:sz w:val="20"/>
                <w:szCs w:val="20"/>
                <w:color w:val="auto"/>
              </w:rPr>
            </w:pPr>
            <w:r>
              <w:rPr>
                <w:rFonts w:ascii="Arial" w:cs="Arial" w:eastAsia="Arial" w:hAnsi="Arial"/>
                <w:sz w:val="15"/>
                <w:szCs w:val="15"/>
                <w:color w:val="auto"/>
              </w:rPr>
              <w:t>Elizabeth A. Hoff</w:t>
            </w:r>
          </w:p>
        </w:tc>
        <w:tc>
          <w:tcPr>
            <w:tcW w:w="2060" w:type="dxa"/>
            <w:vAlign w:val="bottom"/>
            <w:shd w:val="clear" w:color="auto" w:fill="DFE4EA"/>
          </w:tcPr>
          <w:p>
            <w:pPr>
              <w:jc w:val="center"/>
              <w:ind w:left="3"/>
              <w:spacing w:after="0"/>
              <w:rPr>
                <w:sz w:val="20"/>
                <w:szCs w:val="20"/>
                <w:color w:val="auto"/>
              </w:rPr>
            </w:pPr>
            <w:r>
              <w:rPr>
                <w:rFonts w:ascii="Arial" w:cs="Arial" w:eastAsia="Arial" w:hAnsi="Arial"/>
                <w:sz w:val="15"/>
                <w:szCs w:val="15"/>
                <w:color w:val="auto"/>
              </w:rPr>
              <w:t>27,189</w:t>
            </w:r>
          </w:p>
        </w:tc>
        <w:tc>
          <w:tcPr>
            <w:tcW w:w="22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5"/>
                <w:szCs w:val="15"/>
                <w:color w:val="auto"/>
              </w:rPr>
              <w:t>Jon W. Salveson</w:t>
            </w:r>
          </w:p>
        </w:tc>
        <w:tc>
          <w:tcPr>
            <w:tcW w:w="2060" w:type="dxa"/>
            <w:vAlign w:val="bottom"/>
          </w:tcPr>
          <w:p>
            <w:pPr>
              <w:jc w:val="center"/>
              <w:spacing w:after="0"/>
              <w:rPr>
                <w:sz w:val="20"/>
                <w:szCs w:val="20"/>
                <w:color w:val="auto"/>
              </w:rPr>
            </w:pPr>
            <w:r>
              <w:rPr>
                <w:rFonts w:ascii="Arial" w:cs="Arial" w:eastAsia="Arial" w:hAnsi="Arial"/>
                <w:sz w:val="15"/>
                <w:szCs w:val="15"/>
                <w:color w:val="auto"/>
              </w:rPr>
              <w:t>129,840</w:t>
            </w:r>
          </w:p>
        </w:tc>
        <w:tc>
          <w:tcPr>
            <w:tcW w:w="224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24"/>
        </w:trPr>
        <w:tc>
          <w:tcPr>
            <w:tcW w:w="5740" w:type="dxa"/>
            <w:vAlign w:val="bottom"/>
            <w:shd w:val="clear" w:color="auto" w:fill="DFE4EA"/>
          </w:tcPr>
          <w:p>
            <w:pPr>
              <w:spacing w:after="0"/>
              <w:rPr>
                <w:sz w:val="20"/>
                <w:szCs w:val="20"/>
                <w:color w:val="auto"/>
              </w:rPr>
            </w:pPr>
            <w:r>
              <w:rPr>
                <w:rFonts w:ascii="Arial" w:cs="Arial" w:eastAsia="Arial" w:hAnsi="Arial"/>
                <w:sz w:val="15"/>
                <w:szCs w:val="15"/>
                <w:color w:val="auto"/>
              </w:rPr>
              <w:t>Anthony B. Semedo</w:t>
            </w:r>
          </w:p>
        </w:tc>
        <w:tc>
          <w:tcPr>
            <w:tcW w:w="2060" w:type="dxa"/>
            <w:vAlign w:val="bottom"/>
            <w:shd w:val="clear" w:color="auto" w:fill="DFE4EA"/>
          </w:tcPr>
          <w:p>
            <w:pPr>
              <w:jc w:val="center"/>
              <w:ind w:left="3"/>
              <w:spacing w:after="0"/>
              <w:rPr>
                <w:sz w:val="20"/>
                <w:szCs w:val="20"/>
                <w:color w:val="auto"/>
              </w:rPr>
            </w:pPr>
            <w:r>
              <w:rPr>
                <w:rFonts w:ascii="Arial" w:cs="Arial" w:eastAsia="Arial" w:hAnsi="Arial"/>
                <w:sz w:val="15"/>
                <w:szCs w:val="15"/>
                <w:color w:val="auto"/>
              </w:rPr>
              <w:t>39,984</w:t>
            </w:r>
          </w:p>
        </w:tc>
        <w:tc>
          <w:tcPr>
            <w:tcW w:w="22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w:t>
            </w:r>
          </w:p>
        </w:tc>
      </w:tr>
      <w:tr>
        <w:trPr>
          <w:trHeight w:val="244"/>
        </w:trPr>
        <w:tc>
          <w:tcPr>
            <w:tcW w:w="5740" w:type="dxa"/>
            <w:vAlign w:val="bottom"/>
          </w:tcPr>
          <w:p>
            <w:pPr>
              <w:spacing w:after="0"/>
              <w:rPr>
                <w:sz w:val="20"/>
                <w:szCs w:val="20"/>
                <w:color w:val="auto"/>
              </w:rPr>
            </w:pPr>
            <w:r>
              <w:rPr>
                <w:rFonts w:ascii="Arial" w:cs="Arial" w:eastAsia="Arial" w:hAnsi="Arial"/>
                <w:sz w:val="15"/>
                <w:szCs w:val="15"/>
                <w:color w:val="auto"/>
              </w:rPr>
              <w:t>Blackrock, Inc.</w:t>
            </w:r>
          </w:p>
        </w:tc>
        <w:tc>
          <w:tcPr>
            <w:tcW w:w="2060" w:type="dxa"/>
            <w:vAlign w:val="bottom"/>
          </w:tcPr>
          <w:p>
            <w:pPr>
              <w:jc w:val="center"/>
              <w:ind w:left="3"/>
              <w:spacing w:after="0" w:line="243" w:lineRule="exact"/>
              <w:rPr>
                <w:sz w:val="20"/>
                <w:szCs w:val="20"/>
                <w:color w:val="auto"/>
              </w:rPr>
            </w:pPr>
            <w:r>
              <w:rPr>
                <w:rFonts w:ascii="Arial" w:cs="Arial" w:eastAsia="Arial" w:hAnsi="Arial"/>
                <w:sz w:val="15"/>
                <w:szCs w:val="15"/>
                <w:color w:val="auto"/>
                <w:w w:val="94"/>
              </w:rPr>
              <w:t>5,977,264</w:t>
            </w:r>
            <w:r>
              <w:rPr>
                <w:rFonts w:ascii="Arial" w:cs="Arial" w:eastAsia="Arial" w:hAnsi="Arial"/>
                <w:sz w:val="24"/>
                <w:szCs w:val="24"/>
                <w:color w:val="auto"/>
                <w:w w:val="94"/>
                <w:vertAlign w:val="superscript"/>
              </w:rPr>
              <w:t>(6)</w:t>
            </w:r>
          </w:p>
        </w:tc>
        <w:tc>
          <w:tcPr>
            <w:tcW w:w="2240" w:type="dxa"/>
            <w:vAlign w:val="bottom"/>
          </w:tcPr>
          <w:p>
            <w:pPr>
              <w:jc w:val="center"/>
              <w:spacing w:after="0"/>
              <w:rPr>
                <w:sz w:val="20"/>
                <w:szCs w:val="20"/>
                <w:color w:val="auto"/>
              </w:rPr>
            </w:pPr>
            <w:r>
              <w:rPr>
                <w:rFonts w:ascii="Arial" w:cs="Arial" w:eastAsia="Arial" w:hAnsi="Arial"/>
                <w:sz w:val="15"/>
                <w:szCs w:val="15"/>
                <w:color w:val="auto"/>
              </w:rPr>
              <w:t>12.7</w:t>
            </w:r>
          </w:p>
        </w:tc>
      </w:tr>
      <w:tr>
        <w:trPr>
          <w:trHeight w:val="244"/>
        </w:trPr>
        <w:tc>
          <w:tcPr>
            <w:tcW w:w="5740" w:type="dxa"/>
            <w:vAlign w:val="bottom"/>
            <w:shd w:val="clear" w:color="auto" w:fill="DFE4EA"/>
          </w:tcPr>
          <w:p>
            <w:pPr>
              <w:spacing w:after="0"/>
              <w:rPr>
                <w:sz w:val="20"/>
                <w:szCs w:val="20"/>
                <w:color w:val="auto"/>
              </w:rPr>
            </w:pPr>
            <w:r>
              <w:rPr>
                <w:rFonts w:ascii="Arial" w:cs="Arial" w:eastAsia="Arial" w:hAnsi="Arial"/>
                <w:sz w:val="15"/>
                <w:szCs w:val="15"/>
                <w:color w:val="auto"/>
              </w:rPr>
              <w:t>The Vanguard Group, Inc.</w:t>
            </w:r>
          </w:p>
        </w:tc>
        <w:tc>
          <w:tcPr>
            <w:tcW w:w="2060" w:type="dxa"/>
            <w:vAlign w:val="bottom"/>
            <w:shd w:val="clear" w:color="auto" w:fill="DFE4EA"/>
          </w:tcPr>
          <w:p>
            <w:pPr>
              <w:jc w:val="center"/>
              <w:ind w:left="3"/>
              <w:spacing w:after="0" w:line="243" w:lineRule="exact"/>
              <w:rPr>
                <w:sz w:val="20"/>
                <w:szCs w:val="20"/>
                <w:color w:val="auto"/>
              </w:rPr>
            </w:pPr>
            <w:r>
              <w:rPr>
                <w:rFonts w:ascii="Arial" w:cs="Arial" w:eastAsia="Arial" w:hAnsi="Arial"/>
                <w:sz w:val="15"/>
                <w:szCs w:val="15"/>
                <w:color w:val="auto"/>
                <w:w w:val="94"/>
              </w:rPr>
              <w:t>2,630,873</w:t>
            </w:r>
            <w:r>
              <w:rPr>
                <w:rFonts w:ascii="Arial" w:cs="Arial" w:eastAsia="Arial" w:hAnsi="Arial"/>
                <w:sz w:val="24"/>
                <w:szCs w:val="24"/>
                <w:color w:val="auto"/>
                <w:w w:val="94"/>
                <w:vertAlign w:val="superscript"/>
              </w:rPr>
              <w:t>(7)</w:t>
            </w:r>
          </w:p>
        </w:tc>
        <w:tc>
          <w:tcPr>
            <w:tcW w:w="22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6.4</w:t>
            </w:r>
          </w:p>
        </w:tc>
      </w:tr>
      <w:tr>
        <w:trPr>
          <w:trHeight w:val="244"/>
        </w:trPr>
        <w:tc>
          <w:tcPr>
            <w:tcW w:w="5740" w:type="dxa"/>
            <w:vAlign w:val="bottom"/>
          </w:tcPr>
          <w:p>
            <w:pPr>
              <w:spacing w:after="0"/>
              <w:rPr>
                <w:sz w:val="20"/>
                <w:szCs w:val="20"/>
                <w:color w:val="auto"/>
              </w:rPr>
            </w:pPr>
            <w:r>
              <w:rPr>
                <w:rFonts w:ascii="Arial" w:cs="Arial" w:eastAsia="Arial" w:hAnsi="Arial"/>
                <w:sz w:val="15"/>
                <w:szCs w:val="15"/>
                <w:color w:val="auto"/>
              </w:rPr>
              <w:t>Nomura Investment Management Business Trust</w:t>
            </w:r>
          </w:p>
        </w:tc>
        <w:tc>
          <w:tcPr>
            <w:tcW w:w="2060" w:type="dxa"/>
            <w:vAlign w:val="bottom"/>
          </w:tcPr>
          <w:p>
            <w:pPr>
              <w:jc w:val="center"/>
              <w:ind w:left="3"/>
              <w:spacing w:after="0" w:line="243" w:lineRule="exact"/>
              <w:rPr>
                <w:sz w:val="20"/>
                <w:szCs w:val="20"/>
                <w:color w:val="auto"/>
              </w:rPr>
            </w:pPr>
            <w:r>
              <w:rPr>
                <w:rFonts w:ascii="Arial" w:cs="Arial" w:eastAsia="Arial" w:hAnsi="Arial"/>
                <w:sz w:val="15"/>
                <w:szCs w:val="15"/>
                <w:color w:val="auto"/>
                <w:w w:val="94"/>
              </w:rPr>
              <w:t>2,613,471</w:t>
            </w:r>
            <w:r>
              <w:rPr>
                <w:rFonts w:ascii="Arial" w:cs="Arial" w:eastAsia="Arial" w:hAnsi="Arial"/>
                <w:sz w:val="24"/>
                <w:szCs w:val="24"/>
                <w:color w:val="auto"/>
                <w:w w:val="94"/>
                <w:vertAlign w:val="superscript"/>
              </w:rPr>
              <w:t>(8)</w:t>
            </w:r>
          </w:p>
        </w:tc>
        <w:tc>
          <w:tcPr>
            <w:tcW w:w="2240" w:type="dxa"/>
            <w:vAlign w:val="bottom"/>
          </w:tcPr>
          <w:p>
            <w:pPr>
              <w:jc w:val="center"/>
              <w:spacing w:after="0"/>
              <w:rPr>
                <w:sz w:val="20"/>
                <w:szCs w:val="20"/>
                <w:color w:val="auto"/>
              </w:rPr>
            </w:pPr>
            <w:r>
              <w:rPr>
                <w:rFonts w:ascii="Arial" w:cs="Arial" w:eastAsia="Arial" w:hAnsi="Arial"/>
                <w:sz w:val="15"/>
                <w:szCs w:val="15"/>
                <w:color w:val="auto"/>
              </w:rPr>
              <w:t>5.5</w:t>
            </w:r>
          </w:p>
        </w:tc>
      </w:tr>
      <w:tr>
        <w:trPr>
          <w:trHeight w:val="244"/>
        </w:trPr>
        <w:tc>
          <w:tcPr>
            <w:tcW w:w="5740" w:type="dxa"/>
            <w:vAlign w:val="bottom"/>
            <w:shd w:val="clear" w:color="auto" w:fill="DFE4EA"/>
          </w:tcPr>
          <w:p>
            <w:pPr>
              <w:spacing w:after="0"/>
              <w:rPr>
                <w:sz w:val="20"/>
                <w:szCs w:val="20"/>
                <w:color w:val="auto"/>
              </w:rPr>
            </w:pPr>
            <w:r>
              <w:rPr>
                <w:rFonts w:ascii="Arial" w:cs="Arial" w:eastAsia="Arial" w:hAnsi="Arial"/>
                <w:sz w:val="15"/>
                <w:szCs w:val="15"/>
                <w:color w:val="auto"/>
              </w:rPr>
              <w:t>FMR LLC</w:t>
            </w:r>
          </w:p>
        </w:tc>
        <w:tc>
          <w:tcPr>
            <w:tcW w:w="2060" w:type="dxa"/>
            <w:vAlign w:val="bottom"/>
            <w:shd w:val="clear" w:color="auto" w:fill="DFE4EA"/>
          </w:tcPr>
          <w:p>
            <w:pPr>
              <w:jc w:val="center"/>
              <w:ind w:left="3"/>
              <w:spacing w:after="0" w:line="243" w:lineRule="exact"/>
              <w:rPr>
                <w:sz w:val="20"/>
                <w:szCs w:val="20"/>
                <w:color w:val="auto"/>
              </w:rPr>
            </w:pPr>
            <w:r>
              <w:rPr>
                <w:rFonts w:ascii="Arial" w:cs="Arial" w:eastAsia="Arial" w:hAnsi="Arial"/>
                <w:sz w:val="15"/>
                <w:szCs w:val="15"/>
                <w:color w:val="auto"/>
                <w:w w:val="94"/>
              </w:rPr>
              <w:t>2,288,030</w:t>
            </w:r>
            <w:r>
              <w:rPr>
                <w:rFonts w:ascii="Arial" w:cs="Arial" w:eastAsia="Arial" w:hAnsi="Arial"/>
                <w:sz w:val="24"/>
                <w:szCs w:val="24"/>
                <w:color w:val="auto"/>
                <w:w w:val="94"/>
                <w:vertAlign w:val="superscript"/>
              </w:rPr>
              <w:t>(9)</w:t>
            </w:r>
          </w:p>
        </w:tc>
        <w:tc>
          <w:tcPr>
            <w:tcW w:w="224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5.4</w:t>
            </w:r>
          </w:p>
        </w:tc>
      </w:tr>
      <w:tr>
        <w:trPr>
          <w:trHeight w:val="354"/>
        </w:trPr>
        <w:tc>
          <w:tcPr>
            <w:tcW w:w="5740" w:type="dxa"/>
            <w:vAlign w:val="bottom"/>
          </w:tcPr>
          <w:p>
            <w:pPr>
              <w:spacing w:after="0"/>
              <w:rPr>
                <w:sz w:val="20"/>
                <w:szCs w:val="20"/>
                <w:color w:val="auto"/>
              </w:rPr>
            </w:pPr>
            <w:r>
              <w:rPr>
                <w:rFonts w:ascii="Arial" w:cs="Arial" w:eastAsia="Arial" w:hAnsi="Arial"/>
                <w:sz w:val="15"/>
                <w:szCs w:val="15"/>
                <w:color w:val="auto"/>
              </w:rPr>
              <w:t>All current directors and Named Executive Officers as a group (14 persons)</w:t>
            </w:r>
            <w:r>
              <w:rPr>
                <w:rFonts w:ascii="Arial" w:cs="Arial" w:eastAsia="Arial" w:hAnsi="Arial"/>
                <w:sz w:val="25"/>
                <w:szCs w:val="25"/>
                <w:color w:val="auto"/>
                <w:vertAlign w:val="superscript"/>
              </w:rPr>
              <w:t>(11)</w:t>
            </w:r>
          </w:p>
        </w:tc>
        <w:tc>
          <w:tcPr>
            <w:tcW w:w="2060" w:type="dxa"/>
            <w:vAlign w:val="bottom"/>
          </w:tcPr>
          <w:p>
            <w:pPr>
              <w:jc w:val="center"/>
              <w:ind w:left="3"/>
              <w:spacing w:after="0"/>
              <w:rPr>
                <w:sz w:val="20"/>
                <w:szCs w:val="20"/>
                <w:color w:val="auto"/>
              </w:rPr>
            </w:pPr>
            <w:r>
              <w:rPr>
                <w:rFonts w:ascii="Arial" w:cs="Arial" w:eastAsia="Arial" w:hAnsi="Arial"/>
                <w:sz w:val="15"/>
                <w:szCs w:val="15"/>
                <w:color w:val="auto"/>
                <w:w w:val="94"/>
              </w:rPr>
              <w:t>3,078,872</w:t>
            </w:r>
            <w:r>
              <w:rPr>
                <w:rFonts w:ascii="Arial" w:cs="Arial" w:eastAsia="Arial" w:hAnsi="Arial"/>
                <w:sz w:val="24"/>
                <w:szCs w:val="24"/>
                <w:color w:val="auto"/>
                <w:w w:val="94"/>
                <w:vertAlign w:val="superscript"/>
              </w:rPr>
              <w:t>(10)</w:t>
            </w:r>
          </w:p>
        </w:tc>
        <w:tc>
          <w:tcPr>
            <w:tcW w:w="2240" w:type="dxa"/>
            <w:vAlign w:val="bottom"/>
          </w:tcPr>
          <w:p>
            <w:pPr>
              <w:jc w:val="center"/>
              <w:spacing w:after="0"/>
              <w:rPr>
                <w:sz w:val="20"/>
                <w:szCs w:val="20"/>
                <w:color w:val="auto"/>
              </w:rPr>
            </w:pPr>
            <w:r>
              <w:rPr>
                <w:rFonts w:ascii="Arial" w:cs="Arial" w:eastAsia="Arial" w:hAnsi="Arial"/>
                <w:sz w:val="15"/>
                <w:szCs w:val="15"/>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126682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66825" cy="7620"/>
                    </a:xfrm>
                    <a:prstGeom prst="rect">
                      <a:avLst/>
                    </a:prstGeom>
                    <a:noFill/>
                  </pic:spPr>
                </pic:pic>
              </a:graphicData>
            </a:graphic>
          </wp:anchor>
        </w:drawing>
      </w:r>
    </w:p>
    <w:p>
      <w:pPr>
        <w:spacing w:after="0" w:line="43" w:lineRule="exact"/>
        <w:rPr>
          <w:sz w:val="20"/>
          <w:szCs w:val="20"/>
          <w:color w:val="auto"/>
        </w:rPr>
      </w:pPr>
    </w:p>
    <w:p>
      <w:pPr>
        <w:ind w:left="220" w:hanging="219"/>
        <w:spacing w:after="0"/>
        <w:tabs>
          <w:tab w:leader="none" w:pos="220" w:val="left"/>
        </w:tabs>
        <w:numPr>
          <w:ilvl w:val="0"/>
          <w:numId w:val="61"/>
        </w:numPr>
        <w:rPr>
          <w:rFonts w:ascii="Arial" w:cs="Arial" w:eastAsia="Arial" w:hAnsi="Arial"/>
          <w:sz w:val="22"/>
          <w:szCs w:val="22"/>
          <w:i w:val="1"/>
          <w:iCs w:val="1"/>
          <w:color w:val="auto"/>
          <w:vertAlign w:val="superscript"/>
        </w:rPr>
      </w:pPr>
      <w:r>
        <w:rPr>
          <w:rFonts w:ascii="Arial" w:cs="Arial" w:eastAsia="Arial" w:hAnsi="Arial"/>
          <w:sz w:val="14"/>
          <w:szCs w:val="14"/>
          <w:color w:val="auto"/>
        </w:rPr>
        <w:t>Ownership represents less than 1% of outstanding Artivion common stock.</w:t>
      </w:r>
    </w:p>
    <w:p>
      <w:pPr>
        <w:spacing w:after="0" w:line="118" w:lineRule="exact"/>
        <w:rPr>
          <w:sz w:val="20"/>
          <w:szCs w:val="20"/>
          <w:color w:val="auto"/>
        </w:rPr>
      </w:pPr>
    </w:p>
    <w:p>
      <w:pPr>
        <w:jc w:val="both"/>
        <w:ind w:left="220" w:right="20" w:hanging="219"/>
        <w:spacing w:after="0" w:line="212" w:lineRule="auto"/>
        <w:tabs>
          <w:tab w:leader="none" w:pos="22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Amount includes 586,796 options that are either presently exercisable or will become exercisable within 60 days after March 16, 2026. This amount also includes 192,379 shares of unvested restricted stock subject to forfeiture which Mr. Mackin holds as of March 16, 2026. This amount does not include 116,532 shares earned under 2024 and 2025 performance stock unit awards that had not vested as of March 16, 2026, and that will not vest within 60 days thereafter.</w:t>
      </w:r>
    </w:p>
    <w:p>
      <w:pPr>
        <w:spacing w:after="0" w:line="118" w:lineRule="exact"/>
        <w:rPr>
          <w:rFonts w:ascii="Arial" w:cs="Arial" w:eastAsia="Arial" w:hAnsi="Arial"/>
          <w:sz w:val="22"/>
          <w:szCs w:val="22"/>
          <w:color w:val="auto"/>
          <w:vertAlign w:val="superscript"/>
        </w:rPr>
      </w:pPr>
    </w:p>
    <w:p>
      <w:pPr>
        <w:jc w:val="both"/>
        <w:ind w:left="220" w:right="20" w:hanging="219"/>
        <w:spacing w:after="0" w:line="212" w:lineRule="auto"/>
        <w:tabs>
          <w:tab w:leader="none" w:pos="22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Amount includes 62,422 options that are either presently exercisable or will become exercisable within 60 days after March 16, 2026. This amount also includes 119,624 shares of unvested restricted stock subject to forfeiture which Mr. Berry holds as of March 16, 2026. This amount does not include 43,280 shares earned under 2024 and 2025 performance stock unit awards that had not vested as of March 16, 2026, and that will not vest within 60 days thereafter.</w:t>
      </w:r>
    </w:p>
    <w:p>
      <w:pPr>
        <w:spacing w:after="0" w:line="106" w:lineRule="exact"/>
        <w:rPr>
          <w:rFonts w:ascii="Arial" w:cs="Arial" w:eastAsia="Arial" w:hAnsi="Arial"/>
          <w:sz w:val="22"/>
          <w:szCs w:val="22"/>
          <w:color w:val="auto"/>
          <w:vertAlign w:val="superscript"/>
        </w:rPr>
      </w:pPr>
    </w:p>
    <w:p>
      <w:pPr>
        <w:jc w:val="both"/>
        <w:ind w:left="220" w:right="20" w:hanging="219"/>
        <w:spacing w:after="0" w:line="212" w:lineRule="auto"/>
        <w:tabs>
          <w:tab w:leader="none" w:pos="22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Amount includes 76,346 options that are either presently exercisable or will become exercisable within 60 days after March 16, 2026. This amount also includes 42,231 shares of unvested restricted stock subject to forfeiture which Ms. Holloway holds as of March 16, 2026. This amount does not include 27,025 shares earned under 2024 and 2025 performance stock unit awards that had not vested as of March 16, 2026, and that will not vest within 60 days thereafter.</w:t>
      </w:r>
    </w:p>
    <w:p>
      <w:pPr>
        <w:spacing w:after="0" w:line="118" w:lineRule="exact"/>
        <w:rPr>
          <w:rFonts w:ascii="Arial" w:cs="Arial" w:eastAsia="Arial" w:hAnsi="Arial"/>
          <w:sz w:val="22"/>
          <w:szCs w:val="22"/>
          <w:color w:val="auto"/>
          <w:vertAlign w:val="superscript"/>
        </w:rPr>
      </w:pPr>
    </w:p>
    <w:p>
      <w:pPr>
        <w:jc w:val="both"/>
        <w:ind w:left="220" w:right="20" w:hanging="219"/>
        <w:spacing w:after="0" w:line="212" w:lineRule="auto"/>
        <w:tabs>
          <w:tab w:leader="none" w:pos="22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Amount includes 93,397 options that are either presently exercisable or will become exercisable within 60 days after March 16, 2026. This amount also includes 43,216 shares of unvested restricted stock subject to forfeiture that Mr. Davis holds as of March 16, 2026. This amount does not include 27,780 shares earned under 2024 and 2025 performance stock unit awards that had not vested as of March 16, 2026, and that will not vest within 60 days thereafter.</w:t>
      </w:r>
    </w:p>
    <w:p>
      <w:pPr>
        <w:sectPr>
          <w:pgSz w:w="11900" w:h="16838" w:orient="portrait"/>
          <w:cols w:equalWidth="0" w:num="1">
            <w:col w:w="10040"/>
          </w:cols>
          <w:pgMar w:left="980" w:top="87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40"/>
          </w:cols>
          <w:pgMar w:left="980" w:top="870" w:right="879" w:bottom="1440" w:gutter="0" w:footer="0" w:header="0"/>
          <w:type w:val="continuous"/>
        </w:sectPr>
      </w:pPr>
    </w:p>
    <w:bookmarkStart w:id="66" w:name="page67"/>
    <w:bookmarkEnd w:id="66"/>
    <w:p>
      <w:pPr>
        <w:jc w:val="both"/>
        <w:ind w:left="220" w:hanging="219"/>
        <w:spacing w:after="0" w:line="218" w:lineRule="auto"/>
        <w:tabs>
          <w:tab w:leader="none" w:pos="22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Amount does not include any stock options, as Mr. Stanton holds no options that are either presently exercisable or will become exercisable within 60 days after March 16, 2026. This amount also includes 17,198 shares of unvested restricted stock subject to forfeiture that Mr. Stanton holds as of March 16, 2026. This amount does not include 20,970 shares earned under 2024 and 2025 performance stock unit awards that had not vested as of March 16, 2026, and that will not vest within 60 days thereafter.</w:t>
      </w:r>
    </w:p>
    <w:p>
      <w:pPr>
        <w:spacing w:after="0" w:line="108"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Information based on Schedule 13G/A filed on October 17, 2025 by BlackRock, Inc. (“BlackRock”). Per this schedule, BlackRock has the sole power to vote, or to direct the vote of, and sole power to dispose, or to direct the disposition of, these shares of Artivion common stock. The address for BlackRock is BlackRock, Inc., 50 Hudson Yards, New York, New York 10001.</w:t>
      </w:r>
    </w:p>
    <w:p>
      <w:pPr>
        <w:spacing w:after="0" w:line="118"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Information based on Schedule 13G/A filed on February 13, 2024 by The Vanguard Group, Inc. (“Vanguard”). Per this schedule, Vanguard has the power to vote, or to direct the vote of, and power to dispose, or to direct the disposition of, these shares of Artivion common stock. The address for Vanguard is The Vanguard Group, Inc., 100 Vanguard Blvd, Malvern, Pennsylvania 19355.</w:t>
      </w:r>
    </w:p>
    <w:p>
      <w:pPr>
        <w:spacing w:after="0" w:line="118"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Information based on Schedule 13G filed on February 17, 2026 by Nomura Investment Management Business Trust (“Nomura Trust”). Per this schedule, Nomura Trust has the power to vote, or to direct the vote of, and power to dispose, or to direct the disposition of, these shares of Artivion common stock. The address for Nomura Trust is 100 Independence, 610 Market Street, Philadelphia, PA 19106-2354.</w:t>
      </w:r>
    </w:p>
    <w:p>
      <w:pPr>
        <w:spacing w:after="0" w:line="106" w:lineRule="exact"/>
        <w:rPr>
          <w:rFonts w:ascii="Arial" w:cs="Arial" w:eastAsia="Arial" w:hAnsi="Arial"/>
          <w:sz w:val="22"/>
          <w:szCs w:val="22"/>
          <w:color w:val="auto"/>
          <w:vertAlign w:val="superscript"/>
        </w:rPr>
      </w:pPr>
    </w:p>
    <w:p>
      <w:pPr>
        <w:jc w:val="both"/>
        <w:ind w:left="220" w:hanging="219"/>
        <w:spacing w:after="0" w:line="212" w:lineRule="auto"/>
        <w:tabs>
          <w:tab w:leader="none" w:pos="22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Information based on Schedule 13G/A filed on August 6, 2025 by FMR LLC (“FMR”). Per this schedule, FMR has the sole power to vote, or to direct the vote of, and power to dispose, or to direct the disposition of, these shares of Artivion common stock. The address for FMR is 245 Summer Street, Boston, Massachusetts 02210.</w:t>
      </w:r>
    </w:p>
    <w:p>
      <w:pPr>
        <w:spacing w:after="0" w:line="87" w:lineRule="exact"/>
        <w:rPr>
          <w:rFonts w:ascii="Arial" w:cs="Arial" w:eastAsia="Arial" w:hAnsi="Arial"/>
          <w:sz w:val="22"/>
          <w:szCs w:val="22"/>
          <w:color w:val="auto"/>
          <w:vertAlign w:val="superscript"/>
        </w:rPr>
      </w:pPr>
    </w:p>
    <w:p>
      <w:pPr>
        <w:ind w:left="220" w:hanging="219"/>
        <w:spacing w:after="0"/>
        <w:tabs>
          <w:tab w:leader="none" w:pos="22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Amount includes:</w:t>
      </w:r>
    </w:p>
    <w:p>
      <w:pPr>
        <w:ind w:left="220" w:right="3000"/>
        <w:spacing w:after="0" w:line="242" w:lineRule="auto"/>
        <w:rPr>
          <w:rFonts w:ascii="Arial" w:cs="Arial" w:eastAsia="Arial" w:hAnsi="Arial"/>
          <w:sz w:val="18"/>
          <w:szCs w:val="18"/>
          <w:color w:val="auto"/>
          <w:vertAlign w:val="superscript"/>
        </w:rPr>
      </w:pPr>
      <w:r>
        <w:rPr>
          <w:rFonts w:ascii="Arial" w:cs="Arial" w:eastAsia="Arial" w:hAnsi="Arial"/>
          <w:sz w:val="14"/>
          <w:szCs w:val="14"/>
          <w:color w:val="auto"/>
        </w:rPr>
        <w:t>881,185 options that are presently exercisable or will become exercisable within 60 days after March 16, 2026; 600 shares held of record by the spouses or trusts of executive officers and directors; and</w:t>
      </w:r>
    </w:p>
    <w:p>
      <w:pPr>
        <w:ind w:left="220"/>
        <w:spacing w:after="0"/>
        <w:rPr>
          <w:rFonts w:ascii="Arial" w:cs="Arial" w:eastAsia="Arial" w:hAnsi="Arial"/>
          <w:sz w:val="18"/>
          <w:szCs w:val="18"/>
          <w:color w:val="auto"/>
          <w:vertAlign w:val="superscript"/>
        </w:rPr>
      </w:pPr>
      <w:r>
        <w:rPr>
          <w:rFonts w:ascii="Arial" w:cs="Arial" w:eastAsia="Arial" w:hAnsi="Arial"/>
          <w:sz w:val="14"/>
          <w:szCs w:val="14"/>
          <w:color w:val="auto"/>
        </w:rPr>
        <w:t>477,735 shares of unvested restricted common stock subject to forfeiture that all current directors and NEOs hold as a group as of March 16, 2026.</w:t>
      </w:r>
    </w:p>
    <w:p>
      <w:pPr>
        <w:spacing w:after="0" w:line="1" w:lineRule="exact"/>
        <w:rPr>
          <w:rFonts w:ascii="Arial" w:cs="Arial" w:eastAsia="Arial" w:hAnsi="Arial"/>
          <w:sz w:val="18"/>
          <w:szCs w:val="18"/>
          <w:color w:val="auto"/>
          <w:vertAlign w:val="superscript"/>
        </w:rPr>
      </w:pPr>
    </w:p>
    <w:p>
      <w:pPr>
        <w:ind w:left="220"/>
        <w:spacing w:after="0" w:line="255" w:lineRule="auto"/>
        <w:rPr>
          <w:rFonts w:ascii="Arial" w:cs="Arial" w:eastAsia="Arial" w:hAnsi="Arial"/>
          <w:sz w:val="18"/>
          <w:szCs w:val="18"/>
          <w:color w:val="auto"/>
          <w:vertAlign w:val="superscript"/>
        </w:rPr>
      </w:pPr>
      <w:r>
        <w:rPr>
          <w:rFonts w:ascii="Arial" w:cs="Arial" w:eastAsia="Arial" w:hAnsi="Arial"/>
          <w:sz w:val="14"/>
          <w:szCs w:val="14"/>
          <w:color w:val="auto"/>
        </w:rPr>
        <w:t>This amount does not include 243,990 shares earned under 2024 and 2025 performance stock unit awards that had not vested as of March 16, 2026, and that will not vest within 60 days thereafter.</w:t>
      </w:r>
    </w:p>
    <w:p>
      <w:pPr>
        <w:spacing w:after="0" w:line="84" w:lineRule="exact"/>
        <w:rPr>
          <w:rFonts w:ascii="Arial" w:cs="Arial" w:eastAsia="Arial" w:hAnsi="Arial"/>
          <w:sz w:val="18"/>
          <w:szCs w:val="18"/>
          <w:color w:val="auto"/>
          <w:vertAlign w:val="superscript"/>
        </w:rPr>
      </w:pPr>
    </w:p>
    <w:p>
      <w:pPr>
        <w:ind w:left="220" w:hanging="219"/>
        <w:spacing w:after="0"/>
        <w:tabs>
          <w:tab w:leader="none" w:pos="22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The business address for all Artivion non-employee directors and employees is: c/o Artivion, Inc., 1655 Roberts Boulevard, NW, Kennesaw, Georgia 30144.</w:t>
      </w:r>
    </w:p>
    <w:p>
      <w:pPr>
        <w:sectPr>
          <w:pgSz w:w="11900" w:h="16838" w:orient="portrait"/>
          <w:cols w:equalWidth="0" w:num="1">
            <w:col w:w="10020"/>
          </w:cols>
          <w:pgMar w:left="980" w:top="89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93" w:right="899" w:bottom="1440" w:gutter="0" w:footer="0" w:header="0"/>
          <w:type w:val="continuous"/>
        </w:sectPr>
      </w:pPr>
    </w:p>
    <w:bookmarkStart w:id="67" w:name="page68"/>
    <w:bookmarkEnd w:id="67"/>
    <w:p>
      <w:pPr>
        <w:ind w:right="320"/>
        <w:spacing w:after="0" w:line="268" w:lineRule="auto"/>
        <w:rPr>
          <w:sz w:val="20"/>
          <w:szCs w:val="20"/>
          <w:color w:val="auto"/>
        </w:rPr>
      </w:pPr>
      <w:r>
        <w:rPr>
          <w:rFonts w:ascii="Arial" w:cs="Arial" w:eastAsia="Arial" w:hAnsi="Arial"/>
          <w:sz w:val="19"/>
          <w:szCs w:val="19"/>
          <w:b w:val="1"/>
          <w:bCs w:val="1"/>
          <w:color w:val="2B4B74"/>
        </w:rPr>
        <w:t>PROPOSAL THREE – RATIFICATION OF THE PRELIMINARY APPROVAL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636333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General Information</w:t>
      </w:r>
    </w:p>
    <w:p>
      <w:pPr>
        <w:spacing w:after="0" w:line="122"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The Audit Committee has preliminarily approved the appointment of Ernst &amp; Young LLP as the independent registered public accounting firm for the fiscal year ending December 31, 2026, subject to the negotiation of fees and other terms for the 2026 engagement. The Board of Directors recommends that the Company’s stockholders ratify the preliminary approval of Ernst &amp; Young LLP as the independent registered public accounting firm for the fiscal year ending December 31, 2026. Representatives of Ernst &amp; Young LLP are expected to attend the 2026 Annual Meeting, and representatives of the firm will have the opportunity to make a statement at the meeting if they desire to do so and will be available to respond to appropriate questions.</w:t>
      </w:r>
    </w:p>
    <w:p>
      <w:pPr>
        <w:spacing w:after="0" w:line="117"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5"/>
          <w:szCs w:val="15"/>
          <w:color w:val="auto"/>
        </w:rPr>
        <w:t>The submission of the preliminary approval of Ernst &amp; Young LLP for ratification by stockholders is not legally required; however, the Board of Directors believes that such submission is consistent with best practices in corporate governance and is an opportunity for stockholders to provide direct feedback to the Board of Directors on an important issue of corporate governance, the selection of our independent registered public accounting firm. If the stockholders do not ratify the approval of Ernst &amp; Young LLP, the preliminary selection of such firm as the independent registered public accounting firm for the Company will be reconsidered by the Audit Committee, provided that the Audit Committee retains sole authority with respect to all decisions regarding the engagement of the Company’s independent registered public accounting firm, including the decision as to whether or not the 2026 appointment will stand, regardless of whether the stockholders vote to ratify the approval.</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Fees Incurred for Work Performed by the Independent Registered Public Accounting Firm for Fiscal 2025 and Fiscal 2024</w:t>
      </w:r>
    </w:p>
    <w:p>
      <w:pPr>
        <w:spacing w:after="0" w:line="122"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following table presents Ernst &amp; Young LLP’s professional service fees for the audit of the Company’s annual financial statements for fiscal years ending 2024 and 2025, as well as fees for other services rendered during those periods.</w:t>
      </w:r>
    </w:p>
    <w:p>
      <w:pPr>
        <w:spacing w:after="0" w:line="110" w:lineRule="exact"/>
        <w:rPr>
          <w:sz w:val="20"/>
          <w:szCs w:val="20"/>
          <w:color w:val="auto"/>
        </w:rPr>
      </w:pPr>
    </w:p>
    <w:tbl>
      <w:tblPr>
        <w:tblLayout w:type="fixed"/>
        <w:tblInd w:w="2620" w:type="dxa"/>
        <w:tblCellMar>
          <w:top w:w="0" w:type="dxa"/>
          <w:left w:w="0" w:type="dxa"/>
          <w:bottom w:w="0" w:type="dxa"/>
          <w:right w:w="0" w:type="dxa"/>
        </w:tblCellMar>
      </w:tblPr>
      <w:tr>
        <w:trPr>
          <w:trHeight w:val="206"/>
        </w:trPr>
        <w:tc>
          <w:tcPr>
            <w:tcW w:w="17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left="143"/>
              <w:spacing w:after="0"/>
              <w:rPr>
                <w:sz w:val="20"/>
                <w:szCs w:val="20"/>
                <w:color w:val="auto"/>
              </w:rPr>
            </w:pPr>
            <w:r>
              <w:rPr>
                <w:rFonts w:ascii="Arial" w:cs="Arial" w:eastAsia="Arial" w:hAnsi="Arial"/>
                <w:sz w:val="15"/>
                <w:szCs w:val="15"/>
                <w:b w:val="1"/>
                <w:bCs w:val="1"/>
                <w:color w:val="auto"/>
              </w:rPr>
              <w:t>2025</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2024</w:t>
            </w:r>
          </w:p>
        </w:tc>
      </w:tr>
      <w:tr>
        <w:trPr>
          <w:trHeight w:val="244"/>
        </w:trPr>
        <w:tc>
          <w:tcPr>
            <w:tcW w:w="1780" w:type="dxa"/>
            <w:vAlign w:val="bottom"/>
            <w:shd w:val="clear" w:color="auto" w:fill="DFE4EA"/>
          </w:tcPr>
          <w:p>
            <w:pPr>
              <w:ind w:left="40"/>
              <w:spacing w:after="0" w:line="243" w:lineRule="exact"/>
              <w:rPr>
                <w:sz w:val="20"/>
                <w:szCs w:val="20"/>
                <w:color w:val="auto"/>
              </w:rPr>
            </w:pPr>
            <w:r>
              <w:rPr>
                <w:rFonts w:ascii="Arial" w:cs="Arial" w:eastAsia="Arial" w:hAnsi="Arial"/>
                <w:sz w:val="15"/>
                <w:szCs w:val="15"/>
                <w:color w:val="auto"/>
              </w:rPr>
              <w:t>Audit fees</w:t>
            </w:r>
            <w:r>
              <w:rPr>
                <w:rFonts w:ascii="Arial" w:cs="Arial" w:eastAsia="Arial" w:hAnsi="Arial"/>
                <w:sz w:val="24"/>
                <w:szCs w:val="24"/>
                <w:color w:val="auto"/>
                <w:vertAlign w:val="superscript"/>
              </w:rPr>
              <w:t>(1)</w:t>
            </w:r>
          </w:p>
        </w:tc>
        <w:tc>
          <w:tcPr>
            <w:tcW w:w="1600" w:type="dxa"/>
            <w:vAlign w:val="bottom"/>
            <w:shd w:val="clear" w:color="auto" w:fill="DFE4EA"/>
          </w:tcPr>
          <w:p>
            <w:pPr>
              <w:jc w:val="center"/>
              <w:ind w:left="143"/>
              <w:spacing w:after="0"/>
              <w:rPr>
                <w:sz w:val="20"/>
                <w:szCs w:val="20"/>
                <w:color w:val="auto"/>
              </w:rPr>
            </w:pPr>
            <w:r>
              <w:rPr>
                <w:rFonts w:ascii="Arial" w:cs="Arial" w:eastAsia="Arial" w:hAnsi="Arial"/>
                <w:sz w:val="15"/>
                <w:szCs w:val="15"/>
                <w:color w:val="auto"/>
              </w:rPr>
              <w:t>$2,392,004</w:t>
            </w:r>
          </w:p>
        </w:tc>
        <w:tc>
          <w:tcPr>
            <w:tcW w:w="14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$2,905,739</w:t>
            </w:r>
          </w:p>
        </w:tc>
      </w:tr>
      <w:tr>
        <w:trPr>
          <w:trHeight w:val="216"/>
        </w:trPr>
        <w:tc>
          <w:tcPr>
            <w:tcW w:w="1780" w:type="dxa"/>
            <w:vAlign w:val="bottom"/>
          </w:tcPr>
          <w:p>
            <w:pPr>
              <w:ind w:left="40"/>
              <w:spacing w:after="0"/>
              <w:rPr>
                <w:sz w:val="20"/>
                <w:szCs w:val="20"/>
                <w:color w:val="auto"/>
              </w:rPr>
            </w:pPr>
            <w:r>
              <w:rPr>
                <w:rFonts w:ascii="Arial" w:cs="Arial" w:eastAsia="Arial" w:hAnsi="Arial"/>
                <w:sz w:val="15"/>
                <w:szCs w:val="15"/>
                <w:color w:val="auto"/>
              </w:rPr>
              <w:t>Audit-related fees</w:t>
            </w:r>
          </w:p>
        </w:tc>
        <w:tc>
          <w:tcPr>
            <w:tcW w:w="1600" w:type="dxa"/>
            <w:vAlign w:val="bottom"/>
          </w:tcPr>
          <w:p>
            <w:pPr>
              <w:jc w:val="center"/>
              <w:ind w:left="163"/>
              <w:spacing w:after="0"/>
              <w:rPr>
                <w:sz w:val="20"/>
                <w:szCs w:val="20"/>
                <w:color w:val="auto"/>
              </w:rPr>
            </w:pPr>
            <w:r>
              <w:rPr>
                <w:rFonts w:ascii="Arial" w:cs="Arial" w:eastAsia="Arial" w:hAnsi="Arial"/>
                <w:sz w:val="15"/>
                <w:szCs w:val="15"/>
                <w:color w:val="auto"/>
              </w:rPr>
              <w:t>—</w:t>
            </w:r>
          </w:p>
        </w:tc>
        <w:tc>
          <w:tcPr>
            <w:tcW w:w="140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48"/>
        </w:trPr>
        <w:tc>
          <w:tcPr>
            <w:tcW w:w="1780" w:type="dxa"/>
            <w:vAlign w:val="bottom"/>
            <w:shd w:val="clear" w:color="auto" w:fill="DFE4EA"/>
          </w:tcPr>
          <w:p>
            <w:pPr>
              <w:ind w:left="40"/>
              <w:spacing w:after="0" w:line="248" w:lineRule="exact"/>
              <w:rPr>
                <w:sz w:val="20"/>
                <w:szCs w:val="20"/>
                <w:color w:val="auto"/>
              </w:rPr>
            </w:pPr>
            <w:r>
              <w:rPr>
                <w:rFonts w:ascii="Arial" w:cs="Arial" w:eastAsia="Arial" w:hAnsi="Arial"/>
                <w:sz w:val="15"/>
                <w:szCs w:val="15"/>
                <w:color w:val="auto"/>
              </w:rPr>
              <w:t>Tax fees</w:t>
            </w:r>
            <w:r>
              <w:rPr>
                <w:rFonts w:ascii="Arial" w:cs="Arial" w:eastAsia="Arial" w:hAnsi="Arial"/>
                <w:sz w:val="24"/>
                <w:szCs w:val="24"/>
                <w:color w:val="auto"/>
                <w:vertAlign w:val="superscript"/>
              </w:rPr>
              <w:t>(2)</w:t>
            </w:r>
          </w:p>
        </w:tc>
        <w:tc>
          <w:tcPr>
            <w:tcW w:w="1600" w:type="dxa"/>
            <w:vAlign w:val="bottom"/>
            <w:shd w:val="clear" w:color="auto" w:fill="DFE4EA"/>
          </w:tcPr>
          <w:p>
            <w:pPr>
              <w:jc w:val="center"/>
              <w:ind w:left="16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FE4EA"/>
          </w:tcPr>
          <w:p>
            <w:pPr>
              <w:jc w:val="center"/>
              <w:spacing w:after="0"/>
              <w:rPr>
                <w:sz w:val="20"/>
                <w:szCs w:val="20"/>
                <w:color w:val="auto"/>
              </w:rPr>
            </w:pPr>
            <w:r>
              <w:rPr>
                <w:rFonts w:ascii="Arial" w:cs="Arial" w:eastAsia="Arial" w:hAnsi="Arial"/>
                <w:sz w:val="15"/>
                <w:szCs w:val="15"/>
                <w:color w:val="auto"/>
              </w:rPr>
              <w:t>$20,000</w:t>
            </w:r>
          </w:p>
        </w:tc>
      </w:tr>
      <w:tr>
        <w:trPr>
          <w:trHeight w:val="216"/>
        </w:trPr>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All other fees</w:t>
            </w:r>
          </w:p>
        </w:tc>
        <w:tc>
          <w:tcPr>
            <w:tcW w:w="1600" w:type="dxa"/>
            <w:vAlign w:val="bottom"/>
            <w:tcBorders>
              <w:bottom w:val="single" w:sz="8" w:color="auto"/>
            </w:tcBorders>
          </w:tcPr>
          <w:p>
            <w:pPr>
              <w:jc w:val="center"/>
              <w:ind w:left="16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r>
      <w:tr>
        <w:trPr>
          <w:trHeight w:val="216"/>
        </w:trPr>
        <w:tc>
          <w:tcPr>
            <w:tcW w:w="1780" w:type="dxa"/>
            <w:vAlign w:val="bottom"/>
            <w:shd w:val="clear" w:color="auto" w:fill="DFE4EA"/>
          </w:tcPr>
          <w:p>
            <w:pPr>
              <w:ind w:left="40"/>
              <w:spacing w:after="0"/>
              <w:rPr>
                <w:sz w:val="20"/>
                <w:szCs w:val="20"/>
                <w:color w:val="auto"/>
              </w:rPr>
            </w:pPr>
            <w:r>
              <w:rPr>
                <w:rFonts w:ascii="Arial" w:cs="Arial" w:eastAsia="Arial" w:hAnsi="Arial"/>
                <w:sz w:val="15"/>
                <w:szCs w:val="15"/>
                <w:b w:val="1"/>
                <w:bCs w:val="1"/>
                <w:color w:val="auto"/>
              </w:rPr>
              <w:t>Total</w:t>
            </w:r>
          </w:p>
        </w:tc>
        <w:tc>
          <w:tcPr>
            <w:tcW w:w="1600" w:type="dxa"/>
            <w:vAlign w:val="bottom"/>
            <w:shd w:val="clear" w:color="auto" w:fill="DFE4EA"/>
          </w:tcPr>
          <w:p>
            <w:pPr>
              <w:jc w:val="center"/>
              <w:ind w:left="143"/>
              <w:spacing w:after="0"/>
              <w:rPr>
                <w:sz w:val="20"/>
                <w:szCs w:val="20"/>
                <w:color w:val="auto"/>
              </w:rPr>
            </w:pPr>
            <w:r>
              <w:rPr>
                <w:rFonts w:ascii="Arial" w:cs="Arial" w:eastAsia="Arial" w:hAnsi="Arial"/>
                <w:sz w:val="15"/>
                <w:szCs w:val="15"/>
                <w:b w:val="1"/>
                <w:bCs w:val="1"/>
                <w:color w:val="auto"/>
              </w:rPr>
              <w:t>$2,392,004</w:t>
            </w:r>
          </w:p>
        </w:tc>
        <w:tc>
          <w:tcPr>
            <w:tcW w:w="1400" w:type="dxa"/>
            <w:vAlign w:val="bottom"/>
            <w:shd w:val="clear" w:color="auto" w:fill="DFE4EA"/>
          </w:tcPr>
          <w:p>
            <w:pPr>
              <w:jc w:val="center"/>
              <w:spacing w:after="0"/>
              <w:rPr>
                <w:sz w:val="20"/>
                <w:szCs w:val="20"/>
                <w:color w:val="auto"/>
              </w:rPr>
            </w:pPr>
            <w:r>
              <w:rPr>
                <w:rFonts w:ascii="Arial" w:cs="Arial" w:eastAsia="Arial" w:hAnsi="Arial"/>
                <w:sz w:val="15"/>
                <w:szCs w:val="15"/>
                <w:b w:val="1"/>
                <w:bCs w:val="1"/>
                <w:color w:val="auto"/>
              </w:rPr>
              <w:t>$2,925,739</w:t>
            </w:r>
          </w:p>
        </w:tc>
      </w:tr>
    </w:tbl>
    <w:p>
      <w:pPr>
        <w:spacing w:after="0" w:line="162" w:lineRule="exact"/>
        <w:rPr>
          <w:sz w:val="20"/>
          <w:szCs w:val="20"/>
          <w:color w:val="auto"/>
        </w:rPr>
      </w:pPr>
    </w:p>
    <w:p>
      <w:pPr>
        <w:jc w:val="both"/>
        <w:ind w:left="2840" w:right="2620" w:hanging="222"/>
        <w:spacing w:after="0" w:line="228" w:lineRule="auto"/>
        <w:tabs>
          <w:tab w:leader="none" w:pos="2840"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Includes work performed for the audit of our annual consolidated financial statements, the review of financial statements included in our quarterly Form 10-Q reports, the audit of internal control over financial reporting, and the services that an independent auditor would customarily provide in connection with statutory requirements, regulatory filings, and similar engagements for the fiscal year, such as comfort letters, attest services, consents, and assistance with review of documents filed with the SEC.</w:t>
      </w:r>
    </w:p>
    <w:p>
      <w:pPr>
        <w:spacing w:after="0" w:line="37" w:lineRule="exact"/>
        <w:rPr>
          <w:rFonts w:ascii="Arial" w:cs="Arial" w:eastAsia="Arial" w:hAnsi="Arial"/>
          <w:sz w:val="22"/>
          <w:szCs w:val="22"/>
          <w:color w:val="auto"/>
          <w:vertAlign w:val="superscript"/>
        </w:rPr>
      </w:pPr>
    </w:p>
    <w:p>
      <w:pPr>
        <w:ind w:left="2840" w:hanging="222"/>
        <w:spacing w:after="0"/>
        <w:tabs>
          <w:tab w:leader="none" w:pos="2840"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Includes tax compliance and reporting services.</w:t>
      </w:r>
    </w:p>
    <w:p>
      <w:pPr>
        <w:spacing w:after="0" w:line="104"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The Company’s Audit Committee approved all of the services described above. The Audit Committee has determined that the payments made to Ernst &amp; Young LLP for these services are compatible with maintaining such firm’s independence.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Committee’s Preapproval Policies and Procedures</w:t>
      </w:r>
    </w:p>
    <w:p>
      <w:pPr>
        <w:spacing w:after="0" w:line="122"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The Audit Committee has the sole authority to appoint or replace, compensate, and oversee the work of any independent registered public accounting firm, who must be, when required, a registered firm as defined by law whose purpose is the preparation or issuance of an audit report or related work. The independent registered public accounting firm’s reports and other communications are to be delivered directly to the Audit Committee, and the Audit Committee is responsible for the resolution of disagreements between management and the independent registered public accounting firm regarding financial</w:t>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68" w:name="page69"/>
    <w:bookmarkEnd w:id="68"/>
    <w:p>
      <w:pPr>
        <w:jc w:val="both"/>
        <w:spacing w:after="0" w:line="285" w:lineRule="auto"/>
        <w:rPr>
          <w:sz w:val="20"/>
          <w:szCs w:val="20"/>
          <w:color w:val="auto"/>
        </w:rPr>
      </w:pPr>
      <w:r>
        <w:rPr>
          <w:rFonts w:ascii="Arial" w:cs="Arial" w:eastAsia="Arial" w:hAnsi="Arial"/>
          <w:sz w:val="15"/>
          <w:szCs w:val="15"/>
          <w:color w:val="auto"/>
        </w:rPr>
        <w:t>reporting, if any. The Audit Committee annually evaluates the qualifications and performance of the independent registered public accounting firm, including those of its lead partner, and reports on such evaluation to the Board of Directors.</w:t>
      </w:r>
    </w:p>
    <w:p>
      <w:pPr>
        <w:spacing w:after="0" w:line="89"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The Audit Committee preapproves all audit and non-audit services performed by the independent registered public accounting firm and all engagement fees and terms in connection therewith, except as otherwise permitted by federal law and regulations. To date, no services have been approved by the Audit Committee pursuant to 17 CFR 210.2-01(c)(7)(i)(C), which provides a limited exception to the requirement that services be approved in advance by the Audit Committee if certain conditions are met.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Required Vote</w:t>
      </w:r>
    </w:p>
    <w:p>
      <w:pPr>
        <w:spacing w:after="0" w:line="122"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votes cast “For” this proposal must constitute a majority of shares present, either in person or by proxy, and entitled to vote on this proposal. Abstentions will have the same effect as an “Against” vote. Because brokers and other nominees have discretionary authority to vote on the ratification, we do not expect any broker non-votes in connection with this item.</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Board of Directors’ Recommendation</w:t>
      </w:r>
    </w:p>
    <w:p>
      <w:pPr>
        <w:spacing w:after="0" w:line="120" w:lineRule="exact"/>
        <w:rPr>
          <w:sz w:val="20"/>
          <w:szCs w:val="20"/>
          <w:color w:val="auto"/>
        </w:rPr>
      </w:pPr>
    </w:p>
    <w:p>
      <w:pPr>
        <w:jc w:val="center"/>
        <w:ind w:left="1000"/>
        <w:spacing w:after="0" w:line="296" w:lineRule="auto"/>
        <w:rPr>
          <w:sz w:val="20"/>
          <w:szCs w:val="20"/>
          <w:color w:val="auto"/>
        </w:rPr>
      </w:pPr>
      <w:r>
        <w:rPr>
          <w:rFonts w:ascii="Arial" w:cs="Arial" w:eastAsia="Arial" w:hAnsi="Arial"/>
          <w:sz w:val="15"/>
          <w:szCs w:val="15"/>
          <w:b w:val="1"/>
          <w:bCs w:val="1"/>
          <w:color w:val="auto"/>
        </w:rPr>
        <w:t>THE BOARD OF DIRECTORS RECOMMENDS THAT YOU VOTE “FOR” THE RATIFICATION OF THE PRELIMINARY APPROVAL OF ERNST &amp; YOUNG LLP AS OUR INDEPENDENT REGISTERED PUBLIC ACCOUNTING FIRM.</w:t>
      </w:r>
    </w:p>
    <w:p>
      <w:pPr>
        <w:sectPr>
          <w:pgSz w:w="11900" w:h="16838" w:orient="portrait"/>
          <w:cols w:equalWidth="0" w:num="1">
            <w:col w:w="10020"/>
          </w:cols>
          <w:pgMar w:left="980" w:top="8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9" w:right="89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9"/>
          <w:szCs w:val="19"/>
          <w:b w:val="1"/>
          <w:bCs w:val="1"/>
          <w:color w:val="2B4B74"/>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50" w:lineRule="auto"/>
        <w:rPr>
          <w:sz w:val="20"/>
          <w:szCs w:val="20"/>
          <w:color w:val="auto"/>
        </w:rPr>
      </w:pPr>
      <w:r>
        <w:rPr>
          <w:rFonts w:ascii="Arial" w:cs="Arial" w:eastAsia="Arial" w:hAnsi="Arial"/>
          <w:sz w:val="15"/>
          <w:szCs w:val="15"/>
          <w:color w:val="auto"/>
        </w:rPr>
        <w:t>For those stockholders who request paper copies of the Proxy documents and share the same last name and address, they may receive only one copy of our Annual Report and Proxy Statement, unless we receive contrary instructions from any stockholder at that address. This is referred to as “householding.” If you are receiving only one copy of the Annual Report and Proxy Statement and prefer to receive multiple copies, additional copies will be provided to you promptly upon written or oral request. All communications should be directed as indicated on the instructions that were included on the notice mailing or to Jean F. Holloway, General Counsel and Corporate Secretary, Artivion, Inc., 1655 Roberts Boulevard, NW, Kennesaw, Georgia 30144, (770) 419-3355.</w:t>
      </w:r>
    </w:p>
    <w:p>
      <w:pPr>
        <w:spacing w:after="0" w:line="117"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If you are a beneficial owner, you can request additional copies of the Annual Report and Proxy Statement, or you can request householding by notifying your broker, bank, or nominee.</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TRANSACTION OF 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23"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As of the date of this Proxy Statement, the Board of Directors is not aware of any matters other than those set forth herein and in the Notice of Annual Meeting of Stockholders that will come before the meeting. Should any other matters arise requiring the vote of stockholders, it is intended that proxies will be voted in respect thereto in accordance with the best judgment of the person or persons voting the proxies.</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2B4B74"/>
        </w:rPr>
        <w:t>WHERE YOU 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36333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34"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5"/>
          <w:szCs w:val="15"/>
          <w:color w:val="auto"/>
        </w:rPr>
        <w:t>Upon the written request of any record or beneficial owner of common stock of Artivion whose proxy was solicited in connection with the 2026 Annual Meeting, Artivion will furnish such owner, without charge, a copy of its Annual Report on Form 10-K without exhibits for its fiscal year ended December 31, 2025. Requests for a copy of such Annual Report on Form 10-K should be addressed to Jean F. Holloway, General Counsel and Corporate Secretary, Artivion, Inc., 1655 Roberts Boulevard, NW, Kennesaw, Georgia 30144. Copies of this Proxy Statement and our Annual Report on Form 10-K for the year ended December 31, 2025, may also be obtained without charge through the SEC’s website at www.sec.gov.</w:t>
      </w:r>
    </w:p>
    <w:p>
      <w:pPr>
        <w:spacing w:after="0" w:line="112"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In addition, we file annual, quarterly, and current reports, proxy statements, and other information with the SEC. You may read and copy any document we file with the SEC at the SEC’s Public Reference Room located at 100 F Street, NE, Washington, D.C. 20549. You may call the SEC at 1-800-SEC-0330 for further information about the SEC’s public reference rooms. Our SEC filings are also available to the public at the SEC’s website at www.sec.gov and through our website at https://investors.artivion.com/.</w:t>
      </w:r>
    </w:p>
    <w:p>
      <w:pPr>
        <w:spacing w:after="0" w:line="111" w:lineRule="exact"/>
        <w:rPr>
          <w:sz w:val="20"/>
          <w:szCs w:val="20"/>
          <w:color w:val="auto"/>
        </w:rPr>
      </w:pPr>
    </w:p>
    <w:p>
      <w:pPr>
        <w:jc w:val="both"/>
        <w:ind w:firstLine="334"/>
        <w:spacing w:after="0" w:line="285" w:lineRule="auto"/>
        <w:rPr>
          <w:sz w:val="20"/>
          <w:szCs w:val="20"/>
          <w:color w:val="auto"/>
        </w:rPr>
      </w:pPr>
      <w:r>
        <w:rPr>
          <w:rFonts w:ascii="Arial" w:cs="Arial" w:eastAsia="Arial" w:hAnsi="Arial"/>
          <w:sz w:val="15"/>
          <w:szCs w:val="15"/>
          <w:color w:val="auto"/>
        </w:rPr>
        <w:t>It is important that proxies be voted promptly. Stockholders who do not expect to attend the meeting in person are urged to vote their proxies online, by telephone, or by mail, following the instructions at the beginning of this Proxy Statement.</w:t>
      </w:r>
    </w:p>
    <w:p>
      <w:pPr>
        <w:spacing w:after="0" w:line="124"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40005</wp:posOffset>
            </wp:positionV>
            <wp:extent cx="1311275" cy="3606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11275" cy="36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J. PATRICK MACKIN</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Chairman, President, and Chief Executive Officer</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Date: April 1, 2026</w:t>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9"/>
          <w:szCs w:val="19"/>
          <w:b w:val="1"/>
          <w:bCs w:val="1"/>
          <w:color w:val="2B4B74"/>
        </w:rPr>
        <w:t>APPENDIX A – NON-GAAP FINANCIAL MEASURE INFORMATION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36333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63335" cy="762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 Information and Reconciliation</w:t>
      </w:r>
    </w:p>
    <w:p>
      <w:pPr>
        <w:spacing w:after="0" w:line="122" w:lineRule="exact"/>
        <w:rPr>
          <w:sz w:val="20"/>
          <w:szCs w:val="20"/>
          <w:color w:val="auto"/>
        </w:rPr>
      </w:pPr>
    </w:p>
    <w:p>
      <w:pPr>
        <w:jc w:val="both"/>
        <w:ind w:firstLine="334"/>
        <w:spacing w:after="0" w:line="256" w:lineRule="auto"/>
        <w:rPr>
          <w:sz w:val="20"/>
          <w:szCs w:val="20"/>
          <w:color w:val="auto"/>
        </w:rPr>
      </w:pPr>
      <w:r>
        <w:rPr>
          <w:rFonts w:ascii="Arial" w:cs="Arial" w:eastAsia="Arial" w:hAnsi="Arial"/>
          <w:sz w:val="15"/>
          <w:szCs w:val="15"/>
          <w:color w:val="auto"/>
        </w:rPr>
        <w:t>The 2025 annual Cash Bonus and Annual Equity Grant were awarded based, in part, on the achievement of pre-determined levels of constant currency revenue growth and adjusted EBITDA. The use of these non-GAAP adjusted performance measures was intended to create a stronger performance incentive by focusing on controllable variables within the core business and to minimize unintended consequences by excluding items that were highly variable or difficult to predict during the goal-setting process.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table below provides a reconciliation of 2025 net income under GAAP to 2025 adjusted EBITDA, non-GAAP:</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2025 Adjusted EBITDA Reconciliation (in thousands)</w:t>
      </w:r>
    </w:p>
    <w:p>
      <w:pPr>
        <w:spacing w:after="0" w:line="137" w:lineRule="exact"/>
        <w:rPr>
          <w:sz w:val="20"/>
          <w:szCs w:val="20"/>
          <w:color w:val="auto"/>
        </w:rPr>
      </w:pPr>
    </w:p>
    <w:tbl>
      <w:tblPr>
        <w:tblLayout w:type="fixed"/>
        <w:tblInd w:w="1400" w:type="dxa"/>
        <w:tblCellMar>
          <w:top w:w="0" w:type="dxa"/>
          <w:left w:w="0" w:type="dxa"/>
          <w:bottom w:w="0" w:type="dxa"/>
          <w:right w:w="0" w:type="dxa"/>
        </w:tblCellMar>
      </w:tblPr>
      <w:tr>
        <w:trPr>
          <w:trHeight w:val="220"/>
        </w:trPr>
        <w:tc>
          <w:tcPr>
            <w:tcW w:w="4760" w:type="dxa"/>
            <w:vAlign w:val="bottom"/>
            <w:shd w:val="clear" w:color="auto" w:fill="DFE4EA"/>
          </w:tcPr>
          <w:p>
            <w:pPr>
              <w:spacing w:after="0"/>
              <w:rPr>
                <w:sz w:val="20"/>
                <w:szCs w:val="20"/>
                <w:color w:val="auto"/>
              </w:rPr>
            </w:pPr>
            <w:r>
              <w:rPr>
                <w:rFonts w:ascii="Arial" w:cs="Arial" w:eastAsia="Arial" w:hAnsi="Arial"/>
                <w:sz w:val="15"/>
                <w:szCs w:val="15"/>
                <w:b w:val="1"/>
                <w:bCs w:val="1"/>
                <w:color w:val="auto"/>
              </w:rPr>
              <w:t>Net income, GAAP</w:t>
            </w:r>
          </w:p>
        </w:tc>
        <w:tc>
          <w:tcPr>
            <w:tcW w:w="1620" w:type="dxa"/>
            <w:vAlign w:val="bottom"/>
            <w:gridSpan w:val="2"/>
            <w:shd w:val="clear" w:color="auto" w:fill="DFE4EA"/>
          </w:tcPr>
          <w:p>
            <w:pPr>
              <w:jc w:val="right"/>
              <w:ind w:right="143"/>
              <w:spacing w:after="0"/>
              <w:rPr>
                <w:sz w:val="20"/>
                <w:szCs w:val="20"/>
                <w:color w:val="auto"/>
              </w:rPr>
            </w:pPr>
            <w:r>
              <w:rPr>
                <w:rFonts w:ascii="Arial" w:cs="Arial" w:eastAsia="Arial" w:hAnsi="Arial"/>
                <w:sz w:val="15"/>
                <w:szCs w:val="15"/>
                <w:color w:val="auto"/>
              </w:rPr>
              <w:t>$</w:t>
            </w:r>
          </w:p>
        </w:tc>
        <w:tc>
          <w:tcPr>
            <w:tcW w:w="6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9,768</w:t>
            </w:r>
          </w:p>
        </w:tc>
        <w:tc>
          <w:tcPr>
            <w:tcW w:w="200" w:type="dxa"/>
            <w:vAlign w:val="bottom"/>
            <w:shd w:val="clear" w:color="auto" w:fill="DFE4EA"/>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5"/>
                <w:szCs w:val="15"/>
                <w:color w:val="auto"/>
              </w:rPr>
              <w:t>Interest expense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26,582</w:t>
            </w:r>
          </w:p>
        </w:tc>
        <w:tc>
          <w:tcPr>
            <w:tcW w:w="200" w:type="dxa"/>
            <w:vAlign w:val="bottom"/>
          </w:tcPr>
          <w:p>
            <w:pPr>
              <w:spacing w:after="0"/>
              <w:rPr>
                <w:sz w:val="18"/>
                <w:szCs w:val="18"/>
                <w:color w:val="auto"/>
              </w:rPr>
            </w:pPr>
          </w:p>
        </w:tc>
      </w:tr>
      <w:tr>
        <w:trPr>
          <w:trHeight w:val="224"/>
        </w:trPr>
        <w:tc>
          <w:tcPr>
            <w:tcW w:w="4760" w:type="dxa"/>
            <w:vAlign w:val="bottom"/>
            <w:shd w:val="clear" w:color="auto" w:fill="DFE4EA"/>
          </w:tcPr>
          <w:p>
            <w:pPr>
              <w:spacing w:after="0"/>
              <w:rPr>
                <w:sz w:val="20"/>
                <w:szCs w:val="20"/>
                <w:color w:val="auto"/>
              </w:rPr>
            </w:pPr>
            <w:r>
              <w:rPr>
                <w:rFonts w:ascii="Arial" w:cs="Arial" w:eastAsia="Arial" w:hAnsi="Arial"/>
                <w:sz w:val="15"/>
                <w:szCs w:val="15"/>
                <w:color w:val="auto"/>
              </w:rPr>
              <w:t>Interest income</w:t>
            </w:r>
          </w:p>
        </w:tc>
        <w:tc>
          <w:tcPr>
            <w:tcW w:w="1320" w:type="dxa"/>
            <w:vAlign w:val="bottom"/>
            <w:shd w:val="clear" w:color="auto" w:fill="DFE4EA"/>
          </w:tcPr>
          <w:p>
            <w:pPr>
              <w:spacing w:after="0"/>
              <w:rPr>
                <w:sz w:val="19"/>
                <w:szCs w:val="19"/>
                <w:color w:val="auto"/>
              </w:rPr>
            </w:pPr>
          </w:p>
        </w:tc>
        <w:tc>
          <w:tcPr>
            <w:tcW w:w="300" w:type="dxa"/>
            <w:vAlign w:val="bottom"/>
            <w:shd w:val="clear" w:color="auto" w:fill="DFE4EA"/>
          </w:tcPr>
          <w:p>
            <w:pPr>
              <w:spacing w:after="0"/>
              <w:rPr>
                <w:sz w:val="19"/>
                <w:szCs w:val="19"/>
                <w:color w:val="auto"/>
              </w:rPr>
            </w:pPr>
          </w:p>
        </w:tc>
        <w:tc>
          <w:tcPr>
            <w:tcW w:w="860" w:type="dxa"/>
            <w:vAlign w:val="bottom"/>
            <w:gridSpan w:val="2"/>
            <w:shd w:val="clear" w:color="auto" w:fill="DFE4EA"/>
          </w:tcPr>
          <w:p>
            <w:pPr>
              <w:jc w:val="right"/>
              <w:ind w:right="140"/>
              <w:spacing w:after="0"/>
              <w:rPr>
                <w:sz w:val="20"/>
                <w:szCs w:val="20"/>
                <w:color w:val="auto"/>
              </w:rPr>
            </w:pPr>
            <w:r>
              <w:rPr>
                <w:rFonts w:ascii="Arial" w:cs="Arial" w:eastAsia="Arial" w:hAnsi="Arial"/>
                <w:sz w:val="15"/>
                <w:szCs w:val="15"/>
                <w:color w:val="auto"/>
              </w:rPr>
              <w:t>(763)</w:t>
            </w:r>
          </w:p>
        </w:tc>
      </w:tr>
      <w:tr>
        <w:trPr>
          <w:trHeight w:val="216"/>
        </w:trPr>
        <w:tc>
          <w:tcPr>
            <w:tcW w:w="4760" w:type="dxa"/>
            <w:vAlign w:val="bottom"/>
          </w:tcPr>
          <w:p>
            <w:pPr>
              <w:spacing w:after="0"/>
              <w:rPr>
                <w:sz w:val="20"/>
                <w:szCs w:val="20"/>
                <w:color w:val="auto"/>
              </w:rPr>
            </w:pPr>
            <w:r>
              <w:rPr>
                <w:rFonts w:ascii="Arial" w:cs="Arial" w:eastAsia="Arial" w:hAnsi="Arial"/>
                <w:sz w:val="15"/>
                <w:szCs w:val="15"/>
                <w:color w:val="auto"/>
              </w:rPr>
              <w:t>Income tax expense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5,012</w:t>
            </w:r>
          </w:p>
        </w:tc>
        <w:tc>
          <w:tcPr>
            <w:tcW w:w="200" w:type="dxa"/>
            <w:vAlign w:val="bottom"/>
          </w:tcPr>
          <w:p>
            <w:pPr>
              <w:spacing w:after="0"/>
              <w:rPr>
                <w:sz w:val="18"/>
                <w:szCs w:val="18"/>
                <w:color w:val="auto"/>
              </w:rPr>
            </w:pPr>
          </w:p>
        </w:tc>
      </w:tr>
      <w:tr>
        <w:trPr>
          <w:trHeight w:val="224"/>
        </w:trPr>
        <w:tc>
          <w:tcPr>
            <w:tcW w:w="4760" w:type="dxa"/>
            <w:vAlign w:val="bottom"/>
            <w:shd w:val="clear" w:color="auto" w:fill="DFE4EA"/>
          </w:tcPr>
          <w:p>
            <w:pPr>
              <w:spacing w:after="0"/>
              <w:rPr>
                <w:sz w:val="20"/>
                <w:szCs w:val="20"/>
                <w:color w:val="auto"/>
              </w:rPr>
            </w:pPr>
            <w:r>
              <w:rPr>
                <w:rFonts w:ascii="Arial" w:cs="Arial" w:eastAsia="Arial" w:hAnsi="Arial"/>
                <w:sz w:val="15"/>
                <w:szCs w:val="15"/>
                <w:color w:val="auto"/>
              </w:rPr>
              <w:t>Depreciation and amortization</w:t>
            </w:r>
          </w:p>
        </w:tc>
        <w:tc>
          <w:tcPr>
            <w:tcW w:w="1320" w:type="dxa"/>
            <w:vAlign w:val="bottom"/>
            <w:shd w:val="clear" w:color="auto" w:fill="DFE4EA"/>
          </w:tcPr>
          <w:p>
            <w:pPr>
              <w:spacing w:after="0"/>
              <w:rPr>
                <w:sz w:val="19"/>
                <w:szCs w:val="19"/>
                <w:color w:val="auto"/>
              </w:rPr>
            </w:pPr>
          </w:p>
        </w:tc>
        <w:tc>
          <w:tcPr>
            <w:tcW w:w="300" w:type="dxa"/>
            <w:vAlign w:val="bottom"/>
            <w:shd w:val="clear" w:color="auto" w:fill="DFE4EA"/>
          </w:tcPr>
          <w:p>
            <w:pPr>
              <w:spacing w:after="0"/>
              <w:rPr>
                <w:sz w:val="19"/>
                <w:szCs w:val="19"/>
                <w:color w:val="auto"/>
              </w:rPr>
            </w:pPr>
          </w:p>
        </w:tc>
        <w:tc>
          <w:tcPr>
            <w:tcW w:w="6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22,458</w:t>
            </w:r>
          </w:p>
        </w:tc>
        <w:tc>
          <w:tcPr>
            <w:tcW w:w="200" w:type="dxa"/>
            <w:vAlign w:val="bottom"/>
            <w:shd w:val="clear" w:color="auto" w:fill="DFE4EA"/>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5"/>
                <w:szCs w:val="15"/>
                <w:color w:val="auto"/>
              </w:rPr>
              <w:t>Non-cash compensation</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24,385</w:t>
            </w:r>
          </w:p>
        </w:tc>
        <w:tc>
          <w:tcPr>
            <w:tcW w:w="200" w:type="dxa"/>
            <w:vAlign w:val="bottom"/>
          </w:tcPr>
          <w:p>
            <w:pPr>
              <w:spacing w:after="0"/>
              <w:rPr>
                <w:sz w:val="18"/>
                <w:szCs w:val="18"/>
                <w:color w:val="auto"/>
              </w:rPr>
            </w:pPr>
          </w:p>
        </w:tc>
      </w:tr>
      <w:tr>
        <w:trPr>
          <w:trHeight w:val="224"/>
        </w:trPr>
        <w:tc>
          <w:tcPr>
            <w:tcW w:w="4760" w:type="dxa"/>
            <w:vAlign w:val="bottom"/>
            <w:shd w:val="clear" w:color="auto" w:fill="DFE4EA"/>
          </w:tcPr>
          <w:p>
            <w:pPr>
              <w:spacing w:after="0"/>
              <w:rPr>
                <w:sz w:val="20"/>
                <w:szCs w:val="20"/>
                <w:color w:val="auto"/>
              </w:rPr>
            </w:pPr>
            <w:r>
              <w:rPr>
                <w:rFonts w:ascii="Arial" w:cs="Arial" w:eastAsia="Arial" w:hAnsi="Arial"/>
                <w:sz w:val="15"/>
                <w:szCs w:val="15"/>
                <w:color w:val="auto"/>
              </w:rPr>
              <w:t>Business development, integration, and severance</w:t>
            </w:r>
          </w:p>
        </w:tc>
        <w:tc>
          <w:tcPr>
            <w:tcW w:w="1320" w:type="dxa"/>
            <w:vAlign w:val="bottom"/>
            <w:shd w:val="clear" w:color="auto" w:fill="DFE4EA"/>
          </w:tcPr>
          <w:p>
            <w:pPr>
              <w:spacing w:after="0"/>
              <w:rPr>
                <w:sz w:val="19"/>
                <w:szCs w:val="19"/>
                <w:color w:val="auto"/>
              </w:rPr>
            </w:pPr>
          </w:p>
        </w:tc>
        <w:tc>
          <w:tcPr>
            <w:tcW w:w="300" w:type="dxa"/>
            <w:vAlign w:val="bottom"/>
            <w:shd w:val="clear" w:color="auto" w:fill="DFE4EA"/>
          </w:tcPr>
          <w:p>
            <w:pPr>
              <w:spacing w:after="0"/>
              <w:rPr>
                <w:sz w:val="19"/>
                <w:szCs w:val="19"/>
                <w:color w:val="auto"/>
              </w:rPr>
            </w:pPr>
          </w:p>
        </w:tc>
        <w:tc>
          <w:tcPr>
            <w:tcW w:w="6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7,141</w:t>
            </w:r>
          </w:p>
        </w:tc>
        <w:tc>
          <w:tcPr>
            <w:tcW w:w="200" w:type="dxa"/>
            <w:vAlign w:val="bottom"/>
            <w:shd w:val="clear" w:color="auto" w:fill="DFE4EA"/>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5"/>
                <w:szCs w:val="15"/>
                <w:color w:val="auto"/>
              </w:rPr>
              <w:t>Cybersecurity incident, net of recoveries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4,277</w:t>
            </w:r>
          </w:p>
        </w:tc>
        <w:tc>
          <w:tcPr>
            <w:tcW w:w="200" w:type="dxa"/>
            <w:vAlign w:val="bottom"/>
          </w:tcPr>
          <w:p>
            <w:pPr>
              <w:spacing w:after="0"/>
              <w:rPr>
                <w:sz w:val="18"/>
                <w:szCs w:val="18"/>
                <w:color w:val="auto"/>
              </w:rPr>
            </w:pPr>
          </w:p>
        </w:tc>
      </w:tr>
      <w:tr>
        <w:trPr>
          <w:trHeight w:val="224"/>
        </w:trPr>
        <w:tc>
          <w:tcPr>
            <w:tcW w:w="4760" w:type="dxa"/>
            <w:vAlign w:val="bottom"/>
            <w:shd w:val="clear" w:color="auto" w:fill="DFE4EA"/>
          </w:tcPr>
          <w:p>
            <w:pPr>
              <w:spacing w:after="0"/>
              <w:rPr>
                <w:sz w:val="20"/>
                <w:szCs w:val="20"/>
                <w:color w:val="auto"/>
              </w:rPr>
            </w:pPr>
            <w:r>
              <w:rPr>
                <w:rFonts w:ascii="Arial" w:cs="Arial" w:eastAsia="Arial" w:hAnsi="Arial"/>
                <w:sz w:val="15"/>
                <w:szCs w:val="15"/>
                <w:color w:val="auto"/>
              </w:rPr>
              <w:t>Loss on inducement/extinguishment of debt</w:t>
            </w:r>
          </w:p>
        </w:tc>
        <w:tc>
          <w:tcPr>
            <w:tcW w:w="1320" w:type="dxa"/>
            <w:vAlign w:val="bottom"/>
            <w:shd w:val="clear" w:color="auto" w:fill="DFE4EA"/>
          </w:tcPr>
          <w:p>
            <w:pPr>
              <w:spacing w:after="0"/>
              <w:rPr>
                <w:sz w:val="19"/>
                <w:szCs w:val="19"/>
                <w:color w:val="auto"/>
              </w:rPr>
            </w:pPr>
          </w:p>
        </w:tc>
        <w:tc>
          <w:tcPr>
            <w:tcW w:w="300" w:type="dxa"/>
            <w:vAlign w:val="bottom"/>
            <w:shd w:val="clear" w:color="auto" w:fill="DFE4EA"/>
          </w:tcPr>
          <w:p>
            <w:pPr>
              <w:spacing w:after="0"/>
              <w:rPr>
                <w:sz w:val="19"/>
                <w:szCs w:val="19"/>
                <w:color w:val="auto"/>
              </w:rPr>
            </w:pPr>
          </w:p>
        </w:tc>
        <w:tc>
          <w:tcPr>
            <w:tcW w:w="660" w:type="dxa"/>
            <w:vAlign w:val="bottom"/>
            <w:shd w:val="clear" w:color="auto" w:fill="DFE4EA"/>
          </w:tcPr>
          <w:p>
            <w:pPr>
              <w:jc w:val="right"/>
              <w:spacing w:after="0"/>
              <w:rPr>
                <w:sz w:val="20"/>
                <w:szCs w:val="20"/>
                <w:color w:val="auto"/>
              </w:rPr>
            </w:pPr>
            <w:r>
              <w:rPr>
                <w:rFonts w:ascii="Arial" w:cs="Arial" w:eastAsia="Arial" w:hAnsi="Arial"/>
                <w:sz w:val="15"/>
                <w:szCs w:val="15"/>
                <w:color w:val="auto"/>
              </w:rPr>
              <w:t>2,664</w:t>
            </w:r>
          </w:p>
        </w:tc>
        <w:tc>
          <w:tcPr>
            <w:tcW w:w="200" w:type="dxa"/>
            <w:vAlign w:val="bottom"/>
            <w:shd w:val="clear" w:color="auto" w:fill="DFE4EA"/>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5"/>
                <w:szCs w:val="15"/>
                <w:color w:val="auto"/>
              </w:rPr>
              <w:t>Gain on foreign currency revaluation</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(7,236)</w:t>
            </w:r>
          </w:p>
        </w:tc>
      </w:tr>
      <w:tr>
        <w:trPr>
          <w:trHeight w:val="224"/>
        </w:trPr>
        <w:tc>
          <w:tcPr>
            <w:tcW w:w="4760" w:type="dxa"/>
            <w:vAlign w:val="bottom"/>
            <w:shd w:val="clear" w:color="auto" w:fill="DFE4EA"/>
          </w:tcPr>
          <w:p>
            <w:pPr>
              <w:spacing w:after="0"/>
              <w:rPr>
                <w:sz w:val="20"/>
                <w:szCs w:val="20"/>
                <w:color w:val="auto"/>
              </w:rPr>
            </w:pPr>
            <w:r>
              <w:rPr>
                <w:rFonts w:ascii="Arial" w:cs="Arial" w:eastAsia="Arial" w:hAnsi="Arial"/>
                <w:sz w:val="15"/>
                <w:szCs w:val="15"/>
                <w:color w:val="auto"/>
              </w:rPr>
              <w:t>Gain from sale of non-financial assets</w:t>
            </w:r>
          </w:p>
        </w:tc>
        <w:tc>
          <w:tcPr>
            <w:tcW w:w="1320" w:type="dxa"/>
            <w:vAlign w:val="bottom"/>
            <w:shd w:val="clear" w:color="auto" w:fill="DFE4EA"/>
          </w:tcPr>
          <w:p>
            <w:pPr>
              <w:spacing w:after="0"/>
              <w:rPr>
                <w:sz w:val="19"/>
                <w:szCs w:val="19"/>
                <w:color w:val="auto"/>
              </w:rPr>
            </w:pPr>
          </w:p>
        </w:tc>
        <w:tc>
          <w:tcPr>
            <w:tcW w:w="300" w:type="dxa"/>
            <w:vAlign w:val="bottom"/>
            <w:shd w:val="clear" w:color="auto" w:fill="DFE4EA"/>
          </w:tcPr>
          <w:p>
            <w:pPr>
              <w:spacing w:after="0"/>
              <w:rPr>
                <w:sz w:val="19"/>
                <w:szCs w:val="19"/>
                <w:color w:val="auto"/>
              </w:rPr>
            </w:pPr>
          </w:p>
        </w:tc>
        <w:tc>
          <w:tcPr>
            <w:tcW w:w="860" w:type="dxa"/>
            <w:vAlign w:val="bottom"/>
            <w:gridSpan w:val="2"/>
            <w:shd w:val="clear" w:color="auto" w:fill="DFE4EA"/>
          </w:tcPr>
          <w:p>
            <w:pPr>
              <w:jc w:val="right"/>
              <w:ind w:right="140"/>
              <w:spacing w:after="0"/>
              <w:rPr>
                <w:sz w:val="20"/>
                <w:szCs w:val="20"/>
                <w:color w:val="auto"/>
              </w:rPr>
            </w:pPr>
            <w:r>
              <w:rPr>
                <w:rFonts w:ascii="Arial" w:cs="Arial" w:eastAsia="Arial" w:hAnsi="Arial"/>
                <w:sz w:val="15"/>
                <w:szCs w:val="15"/>
                <w:color w:val="auto"/>
              </w:rPr>
              <w:t>(7,000)</w:t>
            </w:r>
          </w:p>
        </w:tc>
      </w:tr>
      <w:tr>
        <w:trPr>
          <w:trHeight w:val="205"/>
        </w:trPr>
        <w:tc>
          <w:tcPr>
            <w:tcW w:w="4760" w:type="dxa"/>
            <w:vAlign w:val="bottom"/>
          </w:tcPr>
          <w:p>
            <w:pPr>
              <w:spacing w:after="0"/>
              <w:rPr>
                <w:sz w:val="20"/>
                <w:szCs w:val="20"/>
                <w:color w:val="auto"/>
              </w:rPr>
            </w:pPr>
            <w:r>
              <w:rPr>
                <w:rFonts w:ascii="Arial" w:cs="Arial" w:eastAsia="Arial" w:hAnsi="Arial"/>
                <w:sz w:val="15"/>
                <w:szCs w:val="15"/>
                <w:color w:val="auto"/>
              </w:rPr>
              <w:t>Italian payback measure</w:t>
            </w:r>
          </w:p>
        </w:tc>
        <w:tc>
          <w:tcPr>
            <w:tcW w:w="1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2,313</w:t>
            </w:r>
          </w:p>
        </w:tc>
        <w:tc>
          <w:tcPr>
            <w:tcW w:w="200" w:type="dxa"/>
            <w:vAlign w:val="bottom"/>
          </w:tcPr>
          <w:p>
            <w:pPr>
              <w:spacing w:after="0"/>
              <w:rPr>
                <w:sz w:val="17"/>
                <w:szCs w:val="17"/>
                <w:color w:val="auto"/>
              </w:rPr>
            </w:pPr>
          </w:p>
        </w:tc>
      </w:tr>
      <w:tr>
        <w:trPr>
          <w:trHeight w:val="216"/>
        </w:trPr>
        <w:tc>
          <w:tcPr>
            <w:tcW w:w="4760" w:type="dxa"/>
            <w:vAlign w:val="bottom"/>
            <w:shd w:val="clear" w:color="auto" w:fill="DFE4EA"/>
          </w:tcPr>
          <w:p>
            <w:pPr>
              <w:spacing w:after="0"/>
              <w:rPr>
                <w:sz w:val="20"/>
                <w:szCs w:val="20"/>
                <w:color w:val="auto"/>
              </w:rPr>
            </w:pPr>
            <w:r>
              <w:rPr>
                <w:rFonts w:ascii="Arial" w:cs="Arial" w:eastAsia="Arial" w:hAnsi="Arial"/>
                <w:sz w:val="15"/>
                <w:szCs w:val="15"/>
                <w:b w:val="1"/>
                <w:bCs w:val="1"/>
                <w:color w:val="auto"/>
              </w:rPr>
              <w:t>2025 Adjusted EBITDA, non-GAAP</w:t>
            </w:r>
          </w:p>
        </w:tc>
        <w:tc>
          <w:tcPr>
            <w:tcW w:w="1320" w:type="dxa"/>
            <w:vAlign w:val="bottom"/>
            <w:shd w:val="clear" w:color="auto" w:fill="DFE4EA"/>
          </w:tcPr>
          <w:p>
            <w:pPr>
              <w:spacing w:after="0"/>
              <w:rPr>
                <w:sz w:val="18"/>
                <w:szCs w:val="18"/>
                <w:color w:val="auto"/>
              </w:rPr>
            </w:pPr>
          </w:p>
        </w:tc>
        <w:tc>
          <w:tcPr>
            <w:tcW w:w="300" w:type="dxa"/>
            <w:vAlign w:val="bottom"/>
            <w:shd w:val="clear" w:color="auto" w:fill="DFE4EA"/>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DFE4EA"/>
          </w:tcPr>
          <w:p>
            <w:pPr>
              <w:jc w:val="right"/>
              <w:ind w:right="40"/>
              <w:spacing w:after="0" w:line="216" w:lineRule="exact"/>
              <w:rPr>
                <w:sz w:val="20"/>
                <w:szCs w:val="20"/>
                <w:color w:val="auto"/>
              </w:rPr>
            </w:pPr>
            <w:r>
              <w:rPr>
                <w:rFonts w:ascii="Arial" w:cs="Arial" w:eastAsia="Arial" w:hAnsi="Arial"/>
                <w:sz w:val="15"/>
                <w:szCs w:val="15"/>
                <w:b w:val="1"/>
                <w:bCs w:val="1"/>
                <w:color w:val="auto"/>
              </w:rPr>
              <w:t>89,601</w:t>
            </w:r>
            <w:r>
              <w:rPr>
                <w:rFonts w:ascii="Arial" w:cs="Arial" w:eastAsia="Arial" w:hAnsi="Arial"/>
                <w:sz w:val="24"/>
                <w:szCs w:val="24"/>
                <w:b w:val="1"/>
                <w:bCs w:val="1"/>
                <w:color w:val="auto"/>
                <w:vertAlign w:val="superscript"/>
              </w:rPr>
              <w:t>(1)</w:t>
            </w:r>
          </w:p>
        </w:tc>
      </w:tr>
      <w:tr>
        <w:trPr>
          <w:trHeight w:val="35"/>
        </w:trPr>
        <w:tc>
          <w:tcPr>
            <w:tcW w:w="4760" w:type="dxa"/>
            <w:vAlign w:val="bottom"/>
            <w:shd w:val="clear" w:color="auto" w:fill="DFE4EA"/>
          </w:tcPr>
          <w:p>
            <w:pPr>
              <w:spacing w:after="0"/>
              <w:rPr>
                <w:sz w:val="3"/>
                <w:szCs w:val="3"/>
                <w:color w:val="auto"/>
              </w:rPr>
            </w:pPr>
          </w:p>
        </w:tc>
        <w:tc>
          <w:tcPr>
            <w:tcW w:w="1320" w:type="dxa"/>
            <w:vAlign w:val="bottom"/>
            <w:shd w:val="clear" w:color="auto" w:fill="DFE4EA"/>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200" w:type="dxa"/>
            <w:vAlign w:val="bottom"/>
            <w:shd w:val="clear" w:color="auto" w:fill="DFE4EA"/>
          </w:tcPr>
          <w:p>
            <w:pPr>
              <w:spacing w:after="0"/>
              <w:rPr>
                <w:sz w:val="3"/>
                <w:szCs w:val="3"/>
                <w:color w:val="auto"/>
              </w:rPr>
            </w:pPr>
          </w:p>
        </w:tc>
      </w:tr>
    </w:tbl>
    <w:p>
      <w:pPr>
        <w:spacing w:after="0" w:line="22" w:lineRule="exact"/>
        <w:rPr>
          <w:sz w:val="20"/>
          <w:szCs w:val="20"/>
          <w:color w:val="auto"/>
        </w:rPr>
      </w:pPr>
    </w:p>
    <w:p>
      <w:pPr>
        <w:ind w:left="1620" w:right="1400" w:hanging="227"/>
        <w:spacing w:after="0" w:line="200" w:lineRule="auto"/>
        <w:tabs>
          <w:tab w:leader="none" w:pos="1620" w:val="left"/>
        </w:tabs>
        <w:numPr>
          <w:ilvl w:val="0"/>
          <w:numId w:val="65"/>
        </w:numPr>
        <w:rPr>
          <w:rFonts w:ascii="Arial" w:cs="Arial" w:eastAsia="Arial" w:hAnsi="Arial"/>
          <w:sz w:val="22"/>
          <w:szCs w:val="22"/>
          <w:color w:val="auto"/>
          <w:vertAlign w:val="superscript"/>
        </w:rPr>
      </w:pPr>
      <w:r>
        <w:rPr>
          <w:rFonts w:ascii="Arial" w:cs="Arial" w:eastAsia="Arial" w:hAnsi="Arial"/>
          <w:sz w:val="14"/>
          <w:szCs w:val="14"/>
          <w:color w:val="auto"/>
        </w:rPr>
        <w:t>2025 adjusted EBITDA, as compared to 2024 constant currency adjusted EBITDA of $69,676 resulted in adjusted EBITDA growth of 28.6%.</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table below provides a reconciliation of GAAP to non-GAAP revenues: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Reconciliation of GAAP to Non-GAAP Revenues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rPr>
              <w:t>2025</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rPr>
              <w:t>2024</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43"/>
              <w:spacing w:after="0"/>
              <w:rPr>
                <w:sz w:val="20"/>
                <w:szCs w:val="20"/>
                <w:color w:val="auto"/>
              </w:rPr>
            </w:pPr>
            <w:r>
              <w:rPr>
                <w:rFonts w:ascii="Arial" w:cs="Arial" w:eastAsia="Arial" w:hAnsi="Arial"/>
                <w:sz w:val="15"/>
                <w:szCs w:val="15"/>
                <w:b w:val="1"/>
                <w:bCs w:val="1"/>
                <w:color w:val="auto"/>
              </w:rPr>
              <w:t>Italian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74"/>
        </w:trPr>
        <w:tc>
          <w:tcPr>
            <w:tcW w:w="2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43"/>
              <w:spacing w:after="0"/>
              <w:rPr>
                <w:sz w:val="20"/>
                <w:szCs w:val="20"/>
                <w:color w:val="auto"/>
              </w:rPr>
            </w:pPr>
            <w:r>
              <w:rPr>
                <w:rFonts w:ascii="Arial" w:cs="Arial" w:eastAsia="Arial" w:hAnsi="Arial"/>
                <w:sz w:val="15"/>
                <w:szCs w:val="15"/>
                <w:b w:val="1"/>
                <w:bCs w:val="1"/>
                <w:color w:val="auto"/>
              </w:rPr>
              <w:t>Payback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b w:val="1"/>
                <w:bCs w:val="1"/>
                <w:color w:val="auto"/>
                <w:w w:val="99"/>
              </w:rPr>
              <w:t>Adjusted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5"/>
                <w:szCs w:val="15"/>
                <w:b w:val="1"/>
                <w:bCs w:val="1"/>
                <w:color w:val="auto"/>
              </w:rPr>
              <w:t>Exchange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b w:val="1"/>
                <w:bCs w:val="1"/>
                <w:color w:val="auto"/>
              </w:rPr>
              <w:t>Constant</w:t>
            </w:r>
          </w:p>
        </w:tc>
      </w:tr>
      <w:tr>
        <w:trPr>
          <w:trHeight w:val="198"/>
        </w:trPr>
        <w:tc>
          <w:tcPr>
            <w:tcW w:w="2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US GAAP</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rPr>
              <w:t>Measure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Revenue</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9"/>
              </w:rPr>
              <w:t>US GAAP</w:t>
            </w:r>
          </w:p>
        </w:tc>
        <w:tc>
          <w:tcPr>
            <w:tcW w:w="22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Rate Effect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Currency</w:t>
            </w:r>
          </w:p>
        </w:tc>
      </w:tr>
      <w:tr>
        <w:trPr>
          <w:trHeight w:val="228"/>
        </w:trPr>
        <w:tc>
          <w:tcPr>
            <w:tcW w:w="2560" w:type="dxa"/>
            <w:vAlign w:val="bottom"/>
            <w:shd w:val="clear" w:color="auto" w:fill="DFE4EA"/>
          </w:tcPr>
          <w:p>
            <w:pPr>
              <w:ind w:left="40"/>
              <w:spacing w:after="0"/>
              <w:rPr>
                <w:sz w:val="20"/>
                <w:szCs w:val="20"/>
                <w:color w:val="auto"/>
              </w:rPr>
            </w:pPr>
            <w:r>
              <w:rPr>
                <w:rFonts w:ascii="Arial" w:cs="Arial" w:eastAsia="Arial" w:hAnsi="Arial"/>
                <w:sz w:val="15"/>
                <w:szCs w:val="15"/>
                <w:color w:val="auto"/>
              </w:rPr>
              <w:t>Aortic Stent grafts</w:t>
            </w:r>
          </w:p>
        </w:tc>
        <w:tc>
          <w:tcPr>
            <w:tcW w:w="1120" w:type="dxa"/>
            <w:vAlign w:val="bottom"/>
            <w:gridSpan w:val="2"/>
            <w:shd w:val="clear" w:color="auto" w:fill="DFE4EA"/>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DFE4EA"/>
          </w:tcPr>
          <w:p>
            <w:pPr>
              <w:jc w:val="right"/>
              <w:spacing w:after="0"/>
              <w:rPr>
                <w:sz w:val="20"/>
                <w:szCs w:val="20"/>
                <w:color w:val="auto"/>
              </w:rPr>
            </w:pPr>
            <w:r>
              <w:rPr>
                <w:rFonts w:ascii="Arial" w:cs="Arial" w:eastAsia="Arial" w:hAnsi="Arial"/>
                <w:sz w:val="15"/>
                <w:szCs w:val="15"/>
                <w:color w:val="auto"/>
              </w:rPr>
              <w:t>​159,371</w:t>
            </w:r>
          </w:p>
        </w:tc>
        <w:tc>
          <w:tcPr>
            <w:tcW w:w="220" w:type="dxa"/>
            <w:vAlign w:val="bottom"/>
            <w:shd w:val="clear" w:color="auto" w:fill="DFE4EA"/>
          </w:tcPr>
          <w:p>
            <w:pPr>
              <w:spacing w:after="0"/>
              <w:rPr>
                <w:sz w:val="19"/>
                <w:szCs w:val="19"/>
                <w:color w:val="auto"/>
              </w:rPr>
            </w:pPr>
          </w:p>
        </w:tc>
        <w:tc>
          <w:tcPr>
            <w:tcW w:w="120" w:type="dxa"/>
            <w:vAlign w:val="bottom"/>
            <w:shd w:val="clear" w:color="auto" w:fill="DFE4EA"/>
          </w:tcPr>
          <w:p>
            <w:pPr>
              <w:spacing w:after="0"/>
              <w:rPr>
                <w:sz w:val="19"/>
                <w:szCs w:val="19"/>
                <w:color w:val="auto"/>
              </w:rPr>
            </w:pPr>
          </w:p>
        </w:tc>
        <w:tc>
          <w:tcPr>
            <w:tcW w:w="780" w:type="dxa"/>
            <w:vAlign w:val="bottom"/>
            <w:shd w:val="clear" w:color="auto" w:fill="DFE4EA"/>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DFE4EA"/>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shd w:val="clear" w:color="auto" w:fill="DFE4EA"/>
          </w:tcPr>
          <w:p>
            <w:pPr>
              <w:jc w:val="right"/>
              <w:spacing w:after="0"/>
              <w:rPr>
                <w:sz w:val="20"/>
                <w:szCs w:val="20"/>
                <w:color w:val="auto"/>
              </w:rPr>
            </w:pPr>
            <w:r>
              <w:rPr>
                <w:rFonts w:ascii="Arial" w:cs="Arial" w:eastAsia="Arial" w:hAnsi="Arial"/>
                <w:sz w:val="15"/>
                <w:szCs w:val="15"/>
                <w:color w:val="auto"/>
              </w:rPr>
              <w:t>​159,371</w:t>
            </w:r>
          </w:p>
        </w:tc>
        <w:tc>
          <w:tcPr>
            <w:tcW w:w="300" w:type="dxa"/>
            <w:vAlign w:val="bottom"/>
            <w:gridSpan w:val="2"/>
            <w:shd w:val="clear" w:color="auto" w:fill="DFE4EA"/>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DFE4EA"/>
          </w:tcPr>
          <w:p>
            <w:pPr>
              <w:jc w:val="right"/>
              <w:spacing w:after="0"/>
              <w:rPr>
                <w:sz w:val="20"/>
                <w:szCs w:val="20"/>
                <w:color w:val="auto"/>
              </w:rPr>
            </w:pPr>
            <w:r>
              <w:rPr>
                <w:rFonts w:ascii="Arial" w:cs="Arial" w:eastAsia="Arial" w:hAnsi="Arial"/>
                <w:sz w:val="15"/>
                <w:szCs w:val="15"/>
                <w:color w:val="auto"/>
              </w:rPr>
              <w:t>​123,081</w:t>
            </w:r>
          </w:p>
        </w:tc>
        <w:tc>
          <w:tcPr>
            <w:tcW w:w="400" w:type="dxa"/>
            <w:vAlign w:val="bottom"/>
            <w:gridSpan w:val="2"/>
            <w:shd w:val="clear" w:color="auto" w:fill="DFE4EA"/>
          </w:tcPr>
          <w:p>
            <w:pPr>
              <w:jc w:val="right"/>
              <w:ind w:right="23"/>
              <w:spacing w:after="0"/>
              <w:rPr>
                <w:sz w:val="20"/>
                <w:szCs w:val="20"/>
                <w:color w:val="auto"/>
              </w:rPr>
            </w:pPr>
            <w:r>
              <w:rPr>
                <w:rFonts w:ascii="Arial" w:cs="Arial" w:eastAsia="Arial" w:hAnsi="Arial"/>
                <w:sz w:val="15"/>
                <w:szCs w:val="15"/>
                <w:color w:val="auto"/>
              </w:rPr>
              <w:t>$</w:t>
            </w:r>
          </w:p>
        </w:tc>
        <w:tc>
          <w:tcPr>
            <w:tcW w:w="700" w:type="dxa"/>
            <w:vAlign w:val="bottom"/>
            <w:shd w:val="clear" w:color="auto" w:fill="DFE4EA"/>
          </w:tcPr>
          <w:p>
            <w:pPr>
              <w:jc w:val="right"/>
              <w:spacing w:after="0"/>
              <w:rPr>
                <w:sz w:val="20"/>
                <w:szCs w:val="20"/>
                <w:color w:val="auto"/>
              </w:rPr>
            </w:pPr>
            <w:r>
              <w:rPr>
                <w:rFonts w:ascii="Arial" w:cs="Arial" w:eastAsia="Arial" w:hAnsi="Arial"/>
                <w:sz w:val="15"/>
                <w:szCs w:val="15"/>
                <w:color w:val="auto"/>
              </w:rPr>
              <w:t>​2,701</w:t>
            </w:r>
          </w:p>
        </w:tc>
        <w:tc>
          <w:tcPr>
            <w:tcW w:w="320" w:type="dxa"/>
            <w:vAlign w:val="bottom"/>
            <w:gridSpan w:val="2"/>
            <w:shd w:val="clear" w:color="auto" w:fill="DFE4EA"/>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shd w:val="clear" w:color="auto" w:fill="DFE4EA"/>
          </w:tcPr>
          <w:p>
            <w:pPr>
              <w:jc w:val="right"/>
              <w:spacing w:after="0"/>
              <w:rPr>
                <w:sz w:val="20"/>
                <w:szCs w:val="20"/>
                <w:color w:val="auto"/>
              </w:rPr>
            </w:pPr>
            <w:r>
              <w:rPr>
                <w:rFonts w:ascii="Arial" w:cs="Arial" w:eastAsia="Arial" w:hAnsi="Arial"/>
                <w:sz w:val="15"/>
                <w:szCs w:val="15"/>
                <w:color w:val="auto"/>
              </w:rPr>
              <w:t>​125,782</w:t>
            </w:r>
          </w:p>
        </w:tc>
      </w:tr>
      <w:tr>
        <w:trPr>
          <w:trHeight w:val="216"/>
        </w:trPr>
        <w:tc>
          <w:tcPr>
            <w:tcW w:w="2560" w:type="dxa"/>
            <w:vAlign w:val="bottom"/>
          </w:tcPr>
          <w:p>
            <w:pPr>
              <w:ind w:left="40"/>
              <w:spacing w:after="0"/>
              <w:rPr>
                <w:sz w:val="20"/>
                <w:szCs w:val="20"/>
                <w:color w:val="auto"/>
              </w:rPr>
            </w:pPr>
            <w:r>
              <w:rPr>
                <w:rFonts w:ascii="Arial" w:cs="Arial" w:eastAsia="Arial" w:hAnsi="Arial"/>
                <w:sz w:val="15"/>
                <w:szCs w:val="15"/>
                <w:color w:val="auto"/>
              </w:rPr>
              <w:t>On-X</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101,740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101,740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83,982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84,310</w:t>
            </w:r>
          </w:p>
        </w:tc>
      </w:tr>
      <w:tr>
        <w:trPr>
          <w:trHeight w:val="224"/>
        </w:trPr>
        <w:tc>
          <w:tcPr>
            <w:tcW w:w="2560" w:type="dxa"/>
            <w:vAlign w:val="bottom"/>
            <w:shd w:val="clear" w:color="auto" w:fill="DFE4EA"/>
          </w:tcPr>
          <w:p>
            <w:pPr>
              <w:ind w:left="40"/>
              <w:spacing w:after="0"/>
              <w:rPr>
                <w:sz w:val="20"/>
                <w:szCs w:val="20"/>
                <w:color w:val="auto"/>
              </w:rPr>
            </w:pPr>
            <w:r>
              <w:rPr>
                <w:rFonts w:ascii="Arial" w:cs="Arial" w:eastAsia="Arial" w:hAnsi="Arial"/>
                <w:sz w:val="15"/>
                <w:szCs w:val="15"/>
                <w:color w:val="auto"/>
              </w:rPr>
              <w:t>Surgical sealants</w:t>
            </w:r>
          </w:p>
        </w:tc>
        <w:tc>
          <w:tcPr>
            <w:tcW w:w="1040" w:type="dxa"/>
            <w:vAlign w:val="bottom"/>
            <w:shd w:val="clear" w:color="auto" w:fill="DFE4EA"/>
          </w:tcPr>
          <w:p>
            <w:pPr>
              <w:spacing w:after="0"/>
              <w:rPr>
                <w:sz w:val="19"/>
                <w:szCs w:val="19"/>
                <w:color w:val="auto"/>
              </w:rPr>
            </w:pPr>
          </w:p>
        </w:tc>
        <w:tc>
          <w:tcPr>
            <w:tcW w:w="80" w:type="dxa"/>
            <w:vAlign w:val="bottom"/>
            <w:shd w:val="clear" w:color="auto" w:fill="DFE4EA"/>
          </w:tcPr>
          <w:p>
            <w:pPr>
              <w:spacing w:after="0"/>
              <w:rPr>
                <w:sz w:val="19"/>
                <w:szCs w:val="19"/>
                <w:color w:val="auto"/>
              </w:rPr>
            </w:pPr>
          </w:p>
        </w:tc>
        <w:tc>
          <w:tcPr>
            <w:tcW w:w="820" w:type="dxa"/>
            <w:vAlign w:val="bottom"/>
            <w:shd w:val="clear" w:color="auto" w:fill="DFE4EA"/>
          </w:tcPr>
          <w:p>
            <w:pPr>
              <w:jc w:val="right"/>
              <w:spacing w:after="0"/>
              <w:rPr>
                <w:sz w:val="20"/>
                <w:szCs w:val="20"/>
                <w:color w:val="auto"/>
              </w:rPr>
            </w:pPr>
            <w:r>
              <w:rPr>
                <w:rFonts w:ascii="Arial" w:cs="Arial" w:eastAsia="Arial" w:hAnsi="Arial"/>
                <w:sz w:val="15"/>
                <w:szCs w:val="15"/>
                <w:color w:val="auto"/>
              </w:rPr>
              <w:t>76,602</w:t>
            </w:r>
          </w:p>
        </w:tc>
        <w:tc>
          <w:tcPr>
            <w:tcW w:w="220" w:type="dxa"/>
            <w:vAlign w:val="bottom"/>
            <w:shd w:val="clear" w:color="auto" w:fill="DFE4EA"/>
          </w:tcPr>
          <w:p>
            <w:pPr>
              <w:spacing w:after="0"/>
              <w:rPr>
                <w:sz w:val="19"/>
                <w:szCs w:val="19"/>
                <w:color w:val="auto"/>
              </w:rPr>
            </w:pPr>
          </w:p>
        </w:tc>
        <w:tc>
          <w:tcPr>
            <w:tcW w:w="120" w:type="dxa"/>
            <w:vAlign w:val="bottom"/>
            <w:shd w:val="clear" w:color="auto" w:fill="DFE4EA"/>
          </w:tcPr>
          <w:p>
            <w:pPr>
              <w:spacing w:after="0"/>
              <w:rPr>
                <w:sz w:val="19"/>
                <w:szCs w:val="19"/>
                <w:color w:val="auto"/>
              </w:rPr>
            </w:pPr>
          </w:p>
        </w:tc>
        <w:tc>
          <w:tcPr>
            <w:tcW w:w="780" w:type="dxa"/>
            <w:vAlign w:val="bottom"/>
            <w:shd w:val="clear" w:color="auto" w:fill="DFE4EA"/>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FE4EA"/>
          </w:tcPr>
          <w:p>
            <w:pPr>
              <w:spacing w:after="0"/>
              <w:rPr>
                <w:sz w:val="19"/>
                <w:szCs w:val="19"/>
                <w:color w:val="auto"/>
              </w:rPr>
            </w:pPr>
          </w:p>
        </w:tc>
        <w:tc>
          <w:tcPr>
            <w:tcW w:w="100" w:type="dxa"/>
            <w:vAlign w:val="bottom"/>
            <w:shd w:val="clear" w:color="auto" w:fill="DFE4EA"/>
          </w:tcPr>
          <w:p>
            <w:pPr>
              <w:spacing w:after="0"/>
              <w:rPr>
                <w:sz w:val="19"/>
                <w:szCs w:val="19"/>
                <w:color w:val="auto"/>
              </w:rPr>
            </w:pPr>
          </w:p>
        </w:tc>
        <w:tc>
          <w:tcPr>
            <w:tcW w:w="780" w:type="dxa"/>
            <w:vAlign w:val="bottom"/>
            <w:shd w:val="clear" w:color="auto" w:fill="DFE4EA"/>
          </w:tcPr>
          <w:p>
            <w:pPr>
              <w:jc w:val="right"/>
              <w:spacing w:after="0"/>
              <w:rPr>
                <w:sz w:val="20"/>
                <w:szCs w:val="20"/>
                <w:color w:val="auto"/>
              </w:rPr>
            </w:pPr>
            <w:r>
              <w:rPr>
                <w:rFonts w:ascii="Arial" w:cs="Arial" w:eastAsia="Arial" w:hAnsi="Arial"/>
                <w:sz w:val="15"/>
                <w:szCs w:val="15"/>
                <w:color w:val="auto"/>
              </w:rPr>
              <w:t>76,602</w:t>
            </w:r>
          </w:p>
        </w:tc>
        <w:tc>
          <w:tcPr>
            <w:tcW w:w="220" w:type="dxa"/>
            <w:vAlign w:val="bottom"/>
            <w:shd w:val="clear" w:color="auto" w:fill="DFE4EA"/>
          </w:tcPr>
          <w:p>
            <w:pPr>
              <w:spacing w:after="0"/>
              <w:rPr>
                <w:sz w:val="19"/>
                <w:szCs w:val="19"/>
                <w:color w:val="auto"/>
              </w:rPr>
            </w:pPr>
          </w:p>
        </w:tc>
        <w:tc>
          <w:tcPr>
            <w:tcW w:w="80" w:type="dxa"/>
            <w:vAlign w:val="bottom"/>
            <w:shd w:val="clear" w:color="auto" w:fill="DFE4EA"/>
          </w:tcPr>
          <w:p>
            <w:pPr>
              <w:spacing w:after="0"/>
              <w:rPr>
                <w:sz w:val="19"/>
                <w:szCs w:val="19"/>
                <w:color w:val="auto"/>
              </w:rPr>
            </w:pPr>
          </w:p>
        </w:tc>
        <w:tc>
          <w:tcPr>
            <w:tcW w:w="800" w:type="dxa"/>
            <w:vAlign w:val="bottom"/>
            <w:shd w:val="clear" w:color="auto" w:fill="DFE4EA"/>
          </w:tcPr>
          <w:p>
            <w:pPr>
              <w:jc w:val="right"/>
              <w:spacing w:after="0"/>
              <w:rPr>
                <w:sz w:val="20"/>
                <w:szCs w:val="20"/>
                <w:color w:val="auto"/>
              </w:rPr>
            </w:pPr>
            <w:r>
              <w:rPr>
                <w:rFonts w:ascii="Arial" w:cs="Arial" w:eastAsia="Arial" w:hAnsi="Arial"/>
                <w:sz w:val="15"/>
                <w:szCs w:val="15"/>
                <w:color w:val="auto"/>
              </w:rPr>
              <w:t>73,898</w:t>
            </w:r>
          </w:p>
        </w:tc>
        <w:tc>
          <w:tcPr>
            <w:tcW w:w="220" w:type="dxa"/>
            <w:vAlign w:val="bottom"/>
            <w:shd w:val="clear" w:color="auto" w:fill="DFE4EA"/>
          </w:tcPr>
          <w:p>
            <w:pPr>
              <w:spacing w:after="0"/>
              <w:rPr>
                <w:sz w:val="19"/>
                <w:szCs w:val="19"/>
                <w:color w:val="auto"/>
              </w:rPr>
            </w:pPr>
          </w:p>
        </w:tc>
        <w:tc>
          <w:tcPr>
            <w:tcW w:w="180" w:type="dxa"/>
            <w:vAlign w:val="bottom"/>
            <w:shd w:val="clear" w:color="auto" w:fill="DFE4EA"/>
          </w:tcPr>
          <w:p>
            <w:pPr>
              <w:spacing w:after="0"/>
              <w:rPr>
                <w:sz w:val="19"/>
                <w:szCs w:val="19"/>
                <w:color w:val="auto"/>
              </w:rPr>
            </w:pPr>
          </w:p>
        </w:tc>
        <w:tc>
          <w:tcPr>
            <w:tcW w:w="700" w:type="dxa"/>
            <w:vAlign w:val="bottom"/>
            <w:shd w:val="clear" w:color="auto" w:fill="DFE4EA"/>
          </w:tcPr>
          <w:p>
            <w:pPr>
              <w:jc w:val="right"/>
              <w:spacing w:after="0"/>
              <w:rPr>
                <w:sz w:val="20"/>
                <w:szCs w:val="20"/>
                <w:color w:val="auto"/>
              </w:rPr>
            </w:pPr>
            <w:r>
              <w:rPr>
                <w:rFonts w:ascii="Arial" w:cs="Arial" w:eastAsia="Arial" w:hAnsi="Arial"/>
                <w:sz w:val="15"/>
                <w:szCs w:val="15"/>
                <w:color w:val="auto"/>
              </w:rPr>
              <w:t>462</w:t>
            </w:r>
          </w:p>
        </w:tc>
        <w:tc>
          <w:tcPr>
            <w:tcW w:w="220" w:type="dxa"/>
            <w:vAlign w:val="bottom"/>
            <w:shd w:val="clear" w:color="auto" w:fill="DFE4EA"/>
          </w:tcPr>
          <w:p>
            <w:pPr>
              <w:spacing w:after="0"/>
              <w:rPr>
                <w:sz w:val="19"/>
                <w:szCs w:val="19"/>
                <w:color w:val="auto"/>
              </w:rPr>
            </w:pPr>
          </w:p>
        </w:tc>
        <w:tc>
          <w:tcPr>
            <w:tcW w:w="100" w:type="dxa"/>
            <w:vAlign w:val="bottom"/>
            <w:shd w:val="clear" w:color="auto" w:fill="DFE4EA"/>
          </w:tcPr>
          <w:p>
            <w:pPr>
              <w:spacing w:after="0"/>
              <w:rPr>
                <w:sz w:val="19"/>
                <w:szCs w:val="19"/>
                <w:color w:val="auto"/>
              </w:rPr>
            </w:pPr>
          </w:p>
        </w:tc>
        <w:tc>
          <w:tcPr>
            <w:tcW w:w="780" w:type="dxa"/>
            <w:vAlign w:val="bottom"/>
            <w:shd w:val="clear" w:color="auto" w:fill="DFE4EA"/>
          </w:tcPr>
          <w:p>
            <w:pPr>
              <w:jc w:val="right"/>
              <w:spacing w:after="0"/>
              <w:rPr>
                <w:sz w:val="20"/>
                <w:szCs w:val="20"/>
                <w:color w:val="auto"/>
              </w:rPr>
            </w:pPr>
            <w:r>
              <w:rPr>
                <w:rFonts w:ascii="Arial" w:cs="Arial" w:eastAsia="Arial" w:hAnsi="Arial"/>
                <w:sz w:val="15"/>
                <w:szCs w:val="15"/>
                <w:color w:val="auto"/>
              </w:rPr>
              <w:t>74,360</w:t>
            </w:r>
          </w:p>
        </w:tc>
      </w:tr>
      <w:tr>
        <w:trPr>
          <w:trHeight w:val="216"/>
        </w:trPr>
        <w:tc>
          <w:tcPr>
            <w:tcW w:w="2560" w:type="dxa"/>
            <w:vAlign w:val="bottom"/>
          </w:tcPr>
          <w:p>
            <w:pPr>
              <w:ind w:left="40"/>
              <w:spacing w:after="0"/>
              <w:rPr>
                <w:sz w:val="20"/>
                <w:szCs w:val="20"/>
                <w:color w:val="auto"/>
              </w:rPr>
            </w:pPr>
            <w:r>
              <w:rPr>
                <w:rFonts w:ascii="Arial" w:cs="Arial" w:eastAsia="Arial" w:hAnsi="Arial"/>
                <w:sz w:val="15"/>
                <w:szCs w:val="15"/>
                <w:color w:val="auto"/>
              </w:rPr>
              <w:t>Other</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8,112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9,269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9,281</w:t>
            </w:r>
          </w:p>
        </w:tc>
      </w:tr>
      <w:tr>
        <w:trPr>
          <w:trHeight w:val="216"/>
        </w:trPr>
        <w:tc>
          <w:tcPr>
            <w:tcW w:w="2560" w:type="dxa"/>
            <w:vAlign w:val="bottom"/>
            <w:tcBorders>
              <w:bottom w:val="single" w:sz="8" w:color="DFE4EA"/>
            </w:tcBorders>
            <w:shd w:val="clear" w:color="auto" w:fill="DFE4EA"/>
          </w:tcPr>
          <w:p>
            <w:pPr>
              <w:ind w:left="40"/>
              <w:spacing w:after="0"/>
              <w:rPr>
                <w:sz w:val="20"/>
                <w:szCs w:val="20"/>
                <w:color w:val="auto"/>
              </w:rPr>
            </w:pPr>
            <w:r>
              <w:rPr>
                <w:rFonts w:ascii="Arial" w:cs="Arial" w:eastAsia="Arial" w:hAnsi="Arial"/>
                <w:sz w:val="15"/>
                <w:szCs w:val="15"/>
                <w:color w:val="auto"/>
              </w:rPr>
              <w:t>Preservation services</w:t>
            </w:r>
          </w:p>
        </w:tc>
        <w:tc>
          <w:tcPr>
            <w:tcW w:w="1040" w:type="dxa"/>
            <w:vAlign w:val="bottom"/>
            <w:tcBorders>
              <w:bottom w:val="single" w:sz="8" w:color="DFE4EA"/>
            </w:tcBorders>
            <w:shd w:val="clear" w:color="auto" w:fill="DFE4EA"/>
          </w:tcPr>
          <w:p>
            <w:pPr>
              <w:spacing w:after="0"/>
              <w:rPr>
                <w:sz w:val="18"/>
                <w:szCs w:val="18"/>
                <w:color w:val="auto"/>
              </w:rPr>
            </w:pPr>
          </w:p>
        </w:tc>
        <w:tc>
          <w:tcPr>
            <w:tcW w:w="80" w:type="dxa"/>
            <w:vAlign w:val="bottom"/>
            <w:tcBorders>
              <w:bottom w:val="single" w:sz="8" w:color="auto"/>
            </w:tcBorders>
            <w:shd w:val="clear" w:color="auto" w:fill="DFE4EA"/>
          </w:tcPr>
          <w:p>
            <w:pPr>
              <w:spacing w:after="0"/>
              <w:rPr>
                <w:sz w:val="18"/>
                <w:szCs w:val="18"/>
                <w:color w:val="auto"/>
              </w:rPr>
            </w:pPr>
          </w:p>
        </w:tc>
        <w:tc>
          <w:tcPr>
            <w:tcW w:w="820" w:type="dxa"/>
            <w:vAlign w:val="bottom"/>
            <w:tcBorders>
              <w:bottom w:val="single" w:sz="8" w:color="auto"/>
            </w:tcBorders>
            <w:shd w:val="clear" w:color="auto" w:fill="DFE4EA"/>
          </w:tcPr>
          <w:p>
            <w:pPr>
              <w:jc w:val="right"/>
              <w:spacing w:after="0"/>
              <w:rPr>
                <w:sz w:val="20"/>
                <w:szCs w:val="20"/>
                <w:color w:val="auto"/>
              </w:rPr>
            </w:pPr>
            <w:r>
              <w:rPr>
                <w:rFonts w:ascii="Arial" w:cs="Arial" w:eastAsia="Arial" w:hAnsi="Arial"/>
                <w:sz w:val="15"/>
                <w:szCs w:val="15"/>
                <w:color w:val="auto"/>
              </w:rPr>
              <w:t>95,505</w:t>
            </w:r>
          </w:p>
        </w:tc>
        <w:tc>
          <w:tcPr>
            <w:tcW w:w="220" w:type="dxa"/>
            <w:vAlign w:val="bottom"/>
            <w:tcBorders>
              <w:bottom w:val="single" w:sz="8" w:color="DFE4EA"/>
            </w:tcBorders>
            <w:shd w:val="clear" w:color="auto" w:fill="DFE4EA"/>
          </w:tcPr>
          <w:p>
            <w:pPr>
              <w:spacing w:after="0"/>
              <w:rPr>
                <w:sz w:val="18"/>
                <w:szCs w:val="18"/>
                <w:color w:val="auto"/>
              </w:rPr>
            </w:pPr>
          </w:p>
        </w:tc>
        <w:tc>
          <w:tcPr>
            <w:tcW w:w="120" w:type="dxa"/>
            <w:vAlign w:val="bottom"/>
            <w:tcBorders>
              <w:bottom w:val="single" w:sz="8" w:color="auto"/>
            </w:tcBorders>
            <w:shd w:val="clear" w:color="auto" w:fill="DFE4EA"/>
          </w:tcPr>
          <w:p>
            <w:pPr>
              <w:spacing w:after="0"/>
              <w:rPr>
                <w:sz w:val="18"/>
                <w:szCs w:val="18"/>
                <w:color w:val="auto"/>
              </w:rPr>
            </w:pPr>
          </w:p>
        </w:tc>
        <w:tc>
          <w:tcPr>
            <w:tcW w:w="780" w:type="dxa"/>
            <w:vAlign w:val="bottom"/>
            <w:tcBorders>
              <w:bottom w:val="single" w:sz="8" w:color="auto"/>
            </w:tcBorders>
            <w:shd w:val="clear" w:color="auto" w:fill="DFE4EA"/>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DFE4EA"/>
            </w:tcBorders>
            <w:shd w:val="clear" w:color="auto" w:fill="DFE4EA"/>
          </w:tcPr>
          <w:p>
            <w:pPr>
              <w:spacing w:after="0"/>
              <w:rPr>
                <w:sz w:val="18"/>
                <w:szCs w:val="18"/>
                <w:color w:val="auto"/>
              </w:rPr>
            </w:pPr>
          </w:p>
        </w:tc>
        <w:tc>
          <w:tcPr>
            <w:tcW w:w="100" w:type="dxa"/>
            <w:vAlign w:val="bottom"/>
            <w:tcBorders>
              <w:bottom w:val="single" w:sz="8" w:color="auto"/>
            </w:tcBorders>
            <w:shd w:val="clear" w:color="auto" w:fill="DFE4EA"/>
          </w:tcPr>
          <w:p>
            <w:pPr>
              <w:spacing w:after="0"/>
              <w:rPr>
                <w:sz w:val="18"/>
                <w:szCs w:val="18"/>
                <w:color w:val="auto"/>
              </w:rPr>
            </w:pPr>
          </w:p>
        </w:tc>
        <w:tc>
          <w:tcPr>
            <w:tcW w:w="780" w:type="dxa"/>
            <w:vAlign w:val="bottom"/>
            <w:tcBorders>
              <w:bottom w:val="single" w:sz="8" w:color="auto"/>
            </w:tcBorders>
            <w:shd w:val="clear" w:color="auto" w:fill="DFE4EA"/>
          </w:tcPr>
          <w:p>
            <w:pPr>
              <w:jc w:val="right"/>
              <w:spacing w:after="0"/>
              <w:rPr>
                <w:sz w:val="20"/>
                <w:szCs w:val="20"/>
                <w:color w:val="auto"/>
              </w:rPr>
            </w:pPr>
            <w:r>
              <w:rPr>
                <w:rFonts w:ascii="Arial" w:cs="Arial" w:eastAsia="Arial" w:hAnsi="Arial"/>
                <w:sz w:val="15"/>
                <w:szCs w:val="15"/>
                <w:color w:val="auto"/>
              </w:rPr>
              <w:t>95,505</w:t>
            </w:r>
          </w:p>
        </w:tc>
        <w:tc>
          <w:tcPr>
            <w:tcW w:w="220" w:type="dxa"/>
            <w:vAlign w:val="bottom"/>
            <w:tcBorders>
              <w:bottom w:val="single" w:sz="8" w:color="DFE4EA"/>
            </w:tcBorders>
            <w:shd w:val="clear" w:color="auto" w:fill="DFE4EA"/>
          </w:tcPr>
          <w:p>
            <w:pPr>
              <w:spacing w:after="0"/>
              <w:rPr>
                <w:sz w:val="18"/>
                <w:szCs w:val="18"/>
                <w:color w:val="auto"/>
              </w:rPr>
            </w:pPr>
          </w:p>
        </w:tc>
        <w:tc>
          <w:tcPr>
            <w:tcW w:w="80" w:type="dxa"/>
            <w:vAlign w:val="bottom"/>
            <w:tcBorders>
              <w:bottom w:val="single" w:sz="8" w:color="auto"/>
            </w:tcBorders>
            <w:shd w:val="clear" w:color="auto" w:fill="DFE4EA"/>
          </w:tcPr>
          <w:p>
            <w:pPr>
              <w:spacing w:after="0"/>
              <w:rPr>
                <w:sz w:val="18"/>
                <w:szCs w:val="18"/>
                <w:color w:val="auto"/>
              </w:rPr>
            </w:pPr>
          </w:p>
        </w:tc>
        <w:tc>
          <w:tcPr>
            <w:tcW w:w="800" w:type="dxa"/>
            <w:vAlign w:val="bottom"/>
            <w:tcBorders>
              <w:bottom w:val="single" w:sz="8" w:color="auto"/>
            </w:tcBorders>
            <w:shd w:val="clear" w:color="auto" w:fill="DFE4EA"/>
          </w:tcPr>
          <w:p>
            <w:pPr>
              <w:jc w:val="right"/>
              <w:spacing w:after="0"/>
              <w:rPr>
                <w:sz w:val="20"/>
                <w:szCs w:val="20"/>
                <w:color w:val="auto"/>
              </w:rPr>
            </w:pPr>
            <w:r>
              <w:rPr>
                <w:rFonts w:ascii="Arial" w:cs="Arial" w:eastAsia="Arial" w:hAnsi="Arial"/>
                <w:sz w:val="15"/>
                <w:szCs w:val="15"/>
                <w:color w:val="auto"/>
              </w:rPr>
              <w:t>98,307</w:t>
            </w:r>
          </w:p>
        </w:tc>
        <w:tc>
          <w:tcPr>
            <w:tcW w:w="220" w:type="dxa"/>
            <w:vAlign w:val="bottom"/>
            <w:tcBorders>
              <w:bottom w:val="single" w:sz="8" w:color="DFE4EA"/>
            </w:tcBorders>
            <w:shd w:val="clear" w:color="auto" w:fill="DFE4EA"/>
          </w:tcPr>
          <w:p>
            <w:pPr>
              <w:spacing w:after="0"/>
              <w:rPr>
                <w:sz w:val="18"/>
                <w:szCs w:val="18"/>
                <w:color w:val="auto"/>
              </w:rPr>
            </w:pPr>
          </w:p>
        </w:tc>
        <w:tc>
          <w:tcPr>
            <w:tcW w:w="180" w:type="dxa"/>
            <w:vAlign w:val="bottom"/>
            <w:tcBorders>
              <w:bottom w:val="single" w:sz="8" w:color="auto"/>
            </w:tcBorders>
            <w:shd w:val="clear" w:color="auto" w:fill="DFE4EA"/>
          </w:tcPr>
          <w:p>
            <w:pPr>
              <w:spacing w:after="0"/>
              <w:rPr>
                <w:sz w:val="18"/>
                <w:szCs w:val="18"/>
                <w:color w:val="auto"/>
              </w:rPr>
            </w:pPr>
          </w:p>
        </w:tc>
        <w:tc>
          <w:tcPr>
            <w:tcW w:w="700" w:type="dxa"/>
            <w:vAlign w:val="bottom"/>
            <w:tcBorders>
              <w:bottom w:val="single" w:sz="8" w:color="auto"/>
            </w:tcBorders>
            <w:shd w:val="clear" w:color="auto" w:fill="DFE4EA"/>
          </w:tcPr>
          <w:p>
            <w:pPr>
              <w:jc w:val="right"/>
              <w:spacing w:after="0"/>
              <w:rPr>
                <w:sz w:val="20"/>
                <w:szCs w:val="20"/>
                <w:color w:val="auto"/>
              </w:rPr>
            </w:pPr>
            <w:r>
              <w:rPr>
                <w:rFonts w:ascii="Arial" w:cs="Arial" w:eastAsia="Arial" w:hAnsi="Arial"/>
                <w:sz w:val="15"/>
                <w:szCs w:val="15"/>
                <w:color w:val="auto"/>
              </w:rPr>
              <w:t>(96)</w:t>
            </w:r>
          </w:p>
        </w:tc>
        <w:tc>
          <w:tcPr>
            <w:tcW w:w="220" w:type="dxa"/>
            <w:vAlign w:val="bottom"/>
            <w:tcBorders>
              <w:bottom w:val="single" w:sz="8" w:color="DFE4EA"/>
            </w:tcBorders>
            <w:shd w:val="clear" w:color="auto" w:fill="DFE4EA"/>
          </w:tcPr>
          <w:p>
            <w:pPr>
              <w:spacing w:after="0"/>
              <w:rPr>
                <w:sz w:val="18"/>
                <w:szCs w:val="18"/>
                <w:color w:val="auto"/>
              </w:rPr>
            </w:pPr>
          </w:p>
        </w:tc>
        <w:tc>
          <w:tcPr>
            <w:tcW w:w="100" w:type="dxa"/>
            <w:vAlign w:val="bottom"/>
            <w:tcBorders>
              <w:bottom w:val="single" w:sz="8" w:color="auto"/>
            </w:tcBorders>
            <w:shd w:val="clear" w:color="auto" w:fill="DFE4EA"/>
          </w:tcPr>
          <w:p>
            <w:pPr>
              <w:spacing w:after="0"/>
              <w:rPr>
                <w:sz w:val="18"/>
                <w:szCs w:val="18"/>
                <w:color w:val="auto"/>
              </w:rPr>
            </w:pPr>
          </w:p>
        </w:tc>
        <w:tc>
          <w:tcPr>
            <w:tcW w:w="780" w:type="dxa"/>
            <w:vAlign w:val="bottom"/>
            <w:tcBorders>
              <w:bottom w:val="single" w:sz="8" w:color="auto"/>
            </w:tcBorders>
            <w:shd w:val="clear" w:color="auto" w:fill="DFE4EA"/>
          </w:tcPr>
          <w:p>
            <w:pPr>
              <w:jc w:val="right"/>
              <w:spacing w:after="0"/>
              <w:rPr>
                <w:sz w:val="20"/>
                <w:szCs w:val="20"/>
                <w:color w:val="auto"/>
              </w:rPr>
            </w:pPr>
            <w:r>
              <w:rPr>
                <w:rFonts w:ascii="Arial" w:cs="Arial" w:eastAsia="Arial" w:hAnsi="Arial"/>
                <w:sz w:val="15"/>
                <w:szCs w:val="15"/>
                <w:color w:val="auto"/>
              </w:rPr>
              <w:t>98,211</w:t>
            </w:r>
          </w:p>
        </w:tc>
      </w:tr>
      <w:tr>
        <w:trPr>
          <w:trHeight w:val="218"/>
        </w:trPr>
        <w:tc>
          <w:tcPr>
            <w:tcW w:w="2560" w:type="dxa"/>
            <w:vAlign w:val="bottom"/>
          </w:tcPr>
          <w:p>
            <w:pPr>
              <w:ind w:left="40"/>
              <w:spacing w:after="0"/>
              <w:rPr>
                <w:sz w:val="20"/>
                <w:szCs w:val="20"/>
                <w:color w:val="auto"/>
              </w:rPr>
            </w:pPr>
            <w:r>
              <w:rPr>
                <w:rFonts w:ascii="Arial" w:cs="Arial" w:eastAsia="Arial" w:hAnsi="Arial"/>
                <w:sz w:val="15"/>
                <w:szCs w:val="15"/>
                <w:b w:val="1"/>
                <w:bCs w:val="1"/>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441,330</w:t>
            </w:r>
          </w:p>
        </w:tc>
        <w:tc>
          <w:tcPr>
            <w:tcW w:w="34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2,313</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443,643</w:t>
            </w:r>
          </w:p>
        </w:tc>
        <w:tc>
          <w:tcPr>
            <w:tcW w:w="3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388,537</w:t>
            </w:r>
          </w:p>
        </w:tc>
        <w:tc>
          <w:tcPr>
            <w:tcW w:w="400" w:type="dxa"/>
            <w:vAlign w:val="bottom"/>
            <w:gridSpan w:val="2"/>
          </w:tcPr>
          <w:p>
            <w:pPr>
              <w:jc w:val="right"/>
              <w:ind w:right="23"/>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3,407</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391,944</w:t>
            </w:r>
          </w:p>
        </w:tc>
      </w:tr>
    </w:tbl>
    <w:p>
      <w:pPr>
        <w:spacing w:after="0" w:line="115"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These numbers are intended to be, and should be, evaluated in the context of the full information provided in our Annual Report on Form 10-K, including the financial statements presented in accordance with GAAP, the footnotes thereto, and the accompanying management’s discussion and analysis, as well as in our other filings with the SEC.</w:t>
      </w:r>
    </w:p>
    <w:p>
      <w:pPr>
        <w:spacing w:after="0" w:line="106"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5"/>
          <w:szCs w:val="15"/>
          <w:color w:val="auto"/>
        </w:rPr>
        <w:t>The methods used by the Company to calculate these non-GAAP financial measures may differ significantly from methods used by other companies to compute similar measures. As a result, any non-GAAP financial measure presented herein may not be comparable to similar measures provided by other companies.</w:t>
      </w:r>
    </w:p>
    <w:p>
      <w:pPr>
        <w:sectPr>
          <w:pgSz w:w="11900" w:h="16838" w:orient="portrait"/>
          <w:cols w:equalWidth="0" w:num="1">
            <w:col w:w="10020"/>
          </w:cols>
          <w:pgMar w:left="980" w:top="8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880" w:val="left"/>
        </w:tabs>
        <w:rPr>
          <w:sz w:val="20"/>
          <w:szCs w:val="20"/>
          <w:color w:val="auto"/>
        </w:rPr>
      </w:pPr>
      <w:r>
        <w:rPr>
          <w:rFonts w:ascii="Arial" w:cs="Arial" w:eastAsia="Arial" w:hAnsi="Arial"/>
          <w:sz w:val="14"/>
          <w:szCs w:val="14"/>
          <w:color w:val="auto"/>
        </w:rPr>
        <w:t>ARTIVION, INC. | 2026 Proxy Statement</w:t>
      </w:r>
      <w:r>
        <w:rPr>
          <w:sz w:val="20"/>
          <w:szCs w:val="20"/>
          <w:color w:val="auto"/>
        </w:rPr>
        <w:tab/>
      </w: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435610</wp:posOffset>
            </wp:positionV>
            <wp:extent cx="7205345"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5345" cy="14605"/>
                    </a:xfrm>
                    <a:prstGeom prst="rect">
                      <a:avLst/>
                    </a:prstGeom>
                    <a:noFill/>
                  </pic:spPr>
                </pic:pic>
              </a:graphicData>
            </a:graphic>
          </wp:anchor>
        </w:drawing>
      </w:r>
    </w:p>
    <w:p>
      <w:pPr>
        <w:sectPr>
          <w:pgSz w:w="11900" w:h="16838" w:orient="portrait"/>
          <w:cols w:equalWidth="0" w:num="1">
            <w:col w:w="10020"/>
          </w:cols>
          <w:pgMar w:left="980" w:top="870" w:right="899" w:bottom="1440" w:gutter="0" w:footer="0" w:header="0"/>
          <w:type w:val="continuous"/>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140335</wp:posOffset>
            </wp:positionV>
            <wp:extent cx="7151370" cy="7924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137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280670</wp:posOffset>
            </wp:positionV>
            <wp:extent cx="7151370" cy="7924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1370" cy="792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2"/>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upperLetter"/>
      <w:start w:val="53"/>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amp;"/>
      <w:numFmt w:val="bullet"/>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upperLetter"/>
      <w:start w:val="1"/>
    </w:lvl>
    <w:lvl w:ilvl="1">
      <w:lvlJc w:val="left"/>
      <w:lvlText w:val="(%2)"/>
      <w:numFmt w:val="decimal"/>
      <w:start w:val="1"/>
    </w:lvl>
  </w:abstractNum>
  <w:abstractNum w:abstractNumId="19">
    <w:nsid w:val="6A2342EC"/>
    <w:multiLevelType w:val="hybridMultilevel"/>
    <w:lvl w:ilvl="0">
      <w:lvlJc w:val="left"/>
      <w:lvlText w:val="%1."/>
      <w:numFmt w:val="upperLetter"/>
      <w:start w:val="10"/>
    </w:lvl>
    <w:lvl w:ilvl="1">
      <w:lvlJc w:val="left"/>
      <w:lvlText w:val="%2"/>
      <w:numFmt w:val="decimal"/>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2"/>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lowerLetter"/>
      <w:start w:val="1"/>
    </w:lvl>
    <w:lvl w:ilvl="1">
      <w:lvlJc w:val="left"/>
      <w:lvlText w:val="%2."/>
      <w:numFmt w:val="lowerRoman"/>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2"/>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6"/>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decimal"/>
      <w:start w:val="2"/>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5"/>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5"/>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2026-04-01T15:44:54Z</dcterms:created>
  <dcterms:modified xsi:type="dcterms:W3CDTF">2026-04-01T15:44:54Z</dcterms:modified>
</cp:coreProperties>
</file>