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6"/>
          <w:szCs w:val="16"/>
          <w:b w:val="1"/>
          <w:bCs w:val="1"/>
          <w:color w:val="auto"/>
        </w:rPr>
        <w:t>ASHINGTON</w:t>
      </w:r>
      <w:r>
        <w:rPr>
          <w:rFonts w:ascii="Times New Roman" w:cs="Times New Roman" w:eastAsia="Times New Roman" w:hAnsi="Times New Roman"/>
          <w:sz w:val="19"/>
          <w:szCs w:val="19"/>
          <w:b w:val="1"/>
          <w:bCs w:val="1"/>
          <w:color w:val="auto"/>
        </w:rPr>
        <w:t>, D.C. 20549</w:t>
      </w:r>
    </w:p>
    <w:p>
      <w:pPr>
        <w:spacing w:after="0" w:line="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December 9, 2024</w:t>
      </w:r>
    </w:p>
    <w:p>
      <w:pPr>
        <w:spacing w:after="0" w:line="3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ARTIVION,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ind w:left="40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w:t>
      </w:r>
    </w:p>
    <w:p>
      <w:pPr>
        <w:spacing w:after="0" w:line="143" w:lineRule="exact"/>
        <w:rPr>
          <w:sz w:val="24"/>
          <w:szCs w:val="24"/>
          <w:color w:val="auto"/>
        </w:rPr>
      </w:pPr>
    </w:p>
    <w:tbl>
      <w:tblPr>
        <w:tblLayout w:type="fixed"/>
        <w:tblInd w:w="100" w:type="dxa"/>
        <w:tblCellMar>
          <w:top w:w="0" w:type="dxa"/>
          <w:left w:w="0" w:type="dxa"/>
          <w:bottom w:w="0" w:type="dxa"/>
          <w:right w:w="0" w:type="dxa"/>
        </w:tblCellMar>
      </w:tblPr>
      <w:tr>
        <w:trPr>
          <w:trHeight w:val="261"/>
        </w:trPr>
        <w:tc>
          <w:tcPr>
            <w:tcW w:w="4000" w:type="dxa"/>
            <w:vAlign w:val="bottom"/>
          </w:tcPr>
          <w:p>
            <w:pPr>
              <w:jc w:val="center"/>
              <w:ind w:right="341"/>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560" w:type="dxa"/>
            <w:vAlign w:val="bottom"/>
          </w:tcPr>
          <w:p>
            <w:pPr>
              <w:jc w:val="right"/>
              <w:ind w:right="1621"/>
              <w:spacing w:after="0"/>
              <w:rPr>
                <w:sz w:val="20"/>
                <w:szCs w:val="20"/>
                <w:color w:val="auto"/>
              </w:rPr>
            </w:pPr>
            <w:r>
              <w:rPr>
                <w:rFonts w:ascii="Times New Roman" w:cs="Times New Roman" w:eastAsia="Times New Roman" w:hAnsi="Times New Roman"/>
                <w:sz w:val="20"/>
                <w:szCs w:val="20"/>
                <w:b w:val="1"/>
                <w:bCs w:val="1"/>
                <w:color w:val="auto"/>
              </w:rPr>
              <w:t>1-13165</w:t>
            </w:r>
          </w:p>
        </w:tc>
        <w:tc>
          <w:tcPr>
            <w:tcW w:w="2440" w:type="dxa"/>
            <w:vAlign w:val="bottom"/>
          </w:tcPr>
          <w:p>
            <w:pPr>
              <w:jc w:val="right"/>
              <w:ind w:right="161"/>
              <w:spacing w:after="0"/>
              <w:rPr>
                <w:sz w:val="20"/>
                <w:szCs w:val="20"/>
                <w:color w:val="auto"/>
              </w:rPr>
            </w:pPr>
            <w:r>
              <w:rPr>
                <w:rFonts w:ascii="Times New Roman" w:cs="Times New Roman" w:eastAsia="Times New Roman" w:hAnsi="Times New Roman"/>
                <w:sz w:val="20"/>
                <w:szCs w:val="20"/>
                <w:b w:val="1"/>
                <w:bCs w:val="1"/>
                <w:color w:val="auto"/>
              </w:rPr>
              <w:t>59-2417093</w:t>
            </w:r>
          </w:p>
        </w:tc>
        <w:tc>
          <w:tcPr>
            <w:tcW w:w="0" w:type="dxa"/>
            <w:vAlign w:val="bottom"/>
          </w:tcPr>
          <w:p>
            <w:pPr>
              <w:spacing w:after="0"/>
              <w:rPr>
                <w:sz w:val="1"/>
                <w:szCs w:val="1"/>
                <w:color w:val="auto"/>
              </w:rPr>
            </w:pPr>
          </w:p>
        </w:tc>
      </w:tr>
      <w:tr>
        <w:trPr>
          <w:trHeight w:val="257"/>
        </w:trPr>
        <w:tc>
          <w:tcPr>
            <w:tcW w:w="4000" w:type="dxa"/>
            <w:vAlign w:val="bottom"/>
          </w:tcPr>
          <w:p>
            <w:pPr>
              <w:jc w:val="center"/>
              <w:ind w:right="361"/>
              <w:spacing w:after="0"/>
              <w:rPr>
                <w:sz w:val="20"/>
                <w:szCs w:val="20"/>
                <w:color w:val="auto"/>
              </w:rPr>
            </w:pPr>
            <w:r>
              <w:rPr>
                <w:rFonts w:ascii="Times New Roman" w:cs="Times New Roman" w:eastAsia="Times New Roman" w:hAnsi="Times New Roman"/>
                <w:sz w:val="20"/>
                <w:szCs w:val="20"/>
                <w:color w:val="auto"/>
                <w:w w:val="98"/>
              </w:rPr>
              <w:t>(State or Other Jurisdiction</w:t>
            </w:r>
          </w:p>
        </w:tc>
        <w:tc>
          <w:tcPr>
            <w:tcW w:w="3560" w:type="dxa"/>
            <w:vAlign w:val="bottom"/>
          </w:tcPr>
          <w:p>
            <w:pPr>
              <w:jc w:val="center"/>
              <w:ind w:right="441"/>
              <w:spacing w:after="0"/>
              <w:rPr>
                <w:sz w:val="20"/>
                <w:szCs w:val="20"/>
                <w:color w:val="auto"/>
              </w:rPr>
            </w:pPr>
            <w:r>
              <w:rPr>
                <w:rFonts w:ascii="Times New Roman" w:cs="Times New Roman" w:eastAsia="Times New Roman" w:hAnsi="Times New Roman"/>
                <w:sz w:val="20"/>
                <w:szCs w:val="20"/>
                <w:color w:val="auto"/>
                <w:w w:val="98"/>
              </w:rPr>
              <w:t>(Commission File Number)</w:t>
            </w:r>
          </w:p>
        </w:tc>
        <w:tc>
          <w:tcPr>
            <w:tcW w:w="2440" w:type="dxa"/>
            <w:vAlign w:val="bottom"/>
          </w:tcPr>
          <w:p>
            <w:pPr>
              <w:jc w:val="center"/>
              <w:ind w:left="861"/>
              <w:spacing w:after="0"/>
              <w:rPr>
                <w:sz w:val="20"/>
                <w:szCs w:val="20"/>
                <w:color w:val="auto"/>
              </w:rPr>
            </w:pPr>
            <w:r>
              <w:rPr>
                <w:rFonts w:ascii="Times New Roman" w:cs="Times New Roman" w:eastAsia="Times New Roman" w:hAnsi="Times New Roman"/>
                <w:sz w:val="20"/>
                <w:szCs w:val="20"/>
                <w:color w:val="auto"/>
                <w:w w:val="98"/>
              </w:rPr>
              <w:t>(IRS Employer</w:t>
            </w:r>
          </w:p>
        </w:tc>
        <w:tc>
          <w:tcPr>
            <w:tcW w:w="0" w:type="dxa"/>
            <w:vAlign w:val="bottom"/>
          </w:tcPr>
          <w:p>
            <w:pPr>
              <w:spacing w:after="0"/>
              <w:rPr>
                <w:sz w:val="1"/>
                <w:szCs w:val="1"/>
                <w:color w:val="auto"/>
              </w:rPr>
            </w:pPr>
          </w:p>
        </w:tc>
      </w:tr>
      <w:tr>
        <w:trPr>
          <w:trHeight w:val="258"/>
        </w:trPr>
        <w:tc>
          <w:tcPr>
            <w:tcW w:w="4000" w:type="dxa"/>
            <w:vAlign w:val="bottom"/>
          </w:tcPr>
          <w:p>
            <w:pPr>
              <w:jc w:val="center"/>
              <w:ind w:right="361"/>
              <w:spacing w:after="0"/>
              <w:rPr>
                <w:sz w:val="20"/>
                <w:szCs w:val="20"/>
                <w:color w:val="auto"/>
              </w:rPr>
            </w:pPr>
            <w:r>
              <w:rPr>
                <w:rFonts w:ascii="Times New Roman" w:cs="Times New Roman" w:eastAsia="Times New Roman" w:hAnsi="Times New Roman"/>
                <w:sz w:val="20"/>
                <w:szCs w:val="20"/>
                <w:color w:val="auto"/>
                <w:w w:val="97"/>
              </w:rPr>
              <w:t>of Incorporation)</w:t>
            </w:r>
          </w:p>
        </w:tc>
        <w:tc>
          <w:tcPr>
            <w:tcW w:w="3560" w:type="dxa"/>
            <w:vAlign w:val="bottom"/>
          </w:tcPr>
          <w:p>
            <w:pPr>
              <w:spacing w:after="0"/>
              <w:rPr>
                <w:sz w:val="22"/>
                <w:szCs w:val="22"/>
                <w:color w:val="auto"/>
              </w:rPr>
            </w:pPr>
          </w:p>
        </w:tc>
        <w:tc>
          <w:tcPr>
            <w:tcW w:w="2440" w:type="dxa"/>
            <w:vAlign w:val="bottom"/>
          </w:tcPr>
          <w:p>
            <w:pPr>
              <w:jc w:val="center"/>
              <w:ind w:left="861"/>
              <w:spacing w:after="0"/>
              <w:rPr>
                <w:sz w:val="20"/>
                <w:szCs w:val="20"/>
                <w:color w:val="auto"/>
              </w:rPr>
            </w:pPr>
            <w:r>
              <w:rPr>
                <w:rFonts w:ascii="Times New Roman" w:cs="Times New Roman" w:eastAsia="Times New Roman" w:hAnsi="Times New Roman"/>
                <w:sz w:val="20"/>
                <w:szCs w:val="20"/>
                <w:color w:val="auto"/>
                <w:w w:val="99"/>
              </w:rPr>
              <w:t>Identification No.)</w:t>
            </w:r>
          </w:p>
        </w:tc>
        <w:tc>
          <w:tcPr>
            <w:tcW w:w="0" w:type="dxa"/>
            <w:vAlign w:val="bottom"/>
          </w:tcPr>
          <w:p>
            <w:pPr>
              <w:spacing w:after="0"/>
              <w:rPr>
                <w:sz w:val="1"/>
                <w:szCs w:val="1"/>
                <w:color w:val="auto"/>
              </w:rPr>
            </w:pPr>
          </w:p>
        </w:tc>
      </w:tr>
      <w:tr>
        <w:trPr>
          <w:trHeight w:val="467"/>
        </w:trPr>
        <w:tc>
          <w:tcPr>
            <w:tcW w:w="4000" w:type="dxa"/>
            <w:vAlign w:val="bottom"/>
          </w:tcPr>
          <w:p>
            <w:pPr>
              <w:jc w:val="center"/>
              <w:ind w:right="341"/>
              <w:spacing w:after="0"/>
              <w:rPr>
                <w:sz w:val="20"/>
                <w:szCs w:val="20"/>
                <w:color w:val="auto"/>
              </w:rPr>
            </w:pPr>
            <w:r>
              <w:rPr>
                <w:rFonts w:ascii="Times New Roman" w:cs="Times New Roman" w:eastAsia="Times New Roman" w:hAnsi="Times New Roman"/>
                <w:sz w:val="20"/>
                <w:szCs w:val="20"/>
                <w:b w:val="1"/>
                <w:bCs w:val="1"/>
                <w:color w:val="auto"/>
                <w:w w:val="97"/>
              </w:rPr>
              <w:t>1655 Roberts Boulevard, N.W., Kennesaw,</w:t>
            </w:r>
          </w:p>
        </w:tc>
        <w:tc>
          <w:tcPr>
            <w:tcW w:w="3560" w:type="dxa"/>
            <w:vAlign w:val="bottom"/>
          </w:tcPr>
          <w:p>
            <w:pPr>
              <w:spacing w:after="0"/>
              <w:rPr>
                <w:sz w:val="24"/>
                <w:szCs w:val="24"/>
                <w:color w:val="auto"/>
              </w:rPr>
            </w:pPr>
          </w:p>
        </w:tc>
        <w:tc>
          <w:tcPr>
            <w:tcW w:w="2440" w:type="dxa"/>
            <w:vAlign w:val="bottom"/>
            <w:vMerge w:val="restart"/>
          </w:tcPr>
          <w:p>
            <w:pPr>
              <w:jc w:val="right"/>
              <w:ind w:right="381"/>
              <w:spacing w:after="0"/>
              <w:rPr>
                <w:sz w:val="20"/>
                <w:szCs w:val="20"/>
                <w:color w:val="auto"/>
              </w:rPr>
            </w:pPr>
            <w:r>
              <w:rPr>
                <w:rFonts w:ascii="Times New Roman" w:cs="Times New Roman" w:eastAsia="Times New Roman" w:hAnsi="Times New Roman"/>
                <w:sz w:val="20"/>
                <w:szCs w:val="20"/>
                <w:b w:val="1"/>
                <w:bCs w:val="1"/>
                <w:color w:val="auto"/>
              </w:rPr>
              <w:t>30144</w:t>
            </w:r>
          </w:p>
        </w:tc>
        <w:tc>
          <w:tcPr>
            <w:tcW w:w="0" w:type="dxa"/>
            <w:vAlign w:val="bottom"/>
          </w:tcPr>
          <w:p>
            <w:pPr>
              <w:spacing w:after="0"/>
              <w:rPr>
                <w:sz w:val="1"/>
                <w:szCs w:val="1"/>
                <w:color w:val="auto"/>
              </w:rPr>
            </w:pPr>
          </w:p>
        </w:tc>
      </w:tr>
      <w:tr>
        <w:trPr>
          <w:trHeight w:val="261"/>
        </w:trPr>
        <w:tc>
          <w:tcPr>
            <w:tcW w:w="4000" w:type="dxa"/>
            <w:vAlign w:val="bottom"/>
          </w:tcPr>
          <w:p>
            <w:pPr>
              <w:jc w:val="center"/>
              <w:ind w:right="341"/>
              <w:spacing w:after="0"/>
              <w:rPr>
                <w:sz w:val="20"/>
                <w:szCs w:val="20"/>
                <w:color w:val="auto"/>
              </w:rPr>
            </w:pPr>
            <w:r>
              <w:rPr>
                <w:rFonts w:ascii="Times New Roman" w:cs="Times New Roman" w:eastAsia="Times New Roman" w:hAnsi="Times New Roman"/>
                <w:sz w:val="20"/>
                <w:szCs w:val="20"/>
                <w:b w:val="1"/>
                <w:bCs w:val="1"/>
                <w:color w:val="auto"/>
                <w:w w:val="98"/>
              </w:rPr>
              <w:t>Georgia</w:t>
            </w:r>
          </w:p>
        </w:tc>
        <w:tc>
          <w:tcPr>
            <w:tcW w:w="3560" w:type="dxa"/>
            <w:vAlign w:val="bottom"/>
          </w:tcPr>
          <w:p>
            <w:pPr>
              <w:spacing w:after="0"/>
              <w:rPr>
                <w:sz w:val="22"/>
                <w:szCs w:val="22"/>
                <w:color w:val="auto"/>
              </w:rPr>
            </w:pPr>
          </w:p>
        </w:tc>
        <w:tc>
          <w:tcPr>
            <w:tcW w:w="2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00" w:type="dxa"/>
            <w:vAlign w:val="bottom"/>
          </w:tcPr>
          <w:p>
            <w:pPr>
              <w:jc w:val="center"/>
              <w:ind w:right="361"/>
              <w:spacing w:after="0"/>
              <w:rPr>
                <w:sz w:val="20"/>
                <w:szCs w:val="20"/>
                <w:color w:val="auto"/>
              </w:rPr>
            </w:pPr>
            <w:r>
              <w:rPr>
                <w:rFonts w:ascii="Times New Roman" w:cs="Times New Roman" w:eastAsia="Times New Roman" w:hAnsi="Times New Roman"/>
                <w:sz w:val="20"/>
                <w:szCs w:val="20"/>
                <w:color w:val="auto"/>
                <w:w w:val="98"/>
              </w:rPr>
              <w:t>(Address of principal executive office)</w:t>
            </w:r>
          </w:p>
        </w:tc>
        <w:tc>
          <w:tcPr>
            <w:tcW w:w="3560" w:type="dxa"/>
            <w:vAlign w:val="bottom"/>
          </w:tcPr>
          <w:p>
            <w:pPr>
              <w:spacing w:after="0"/>
              <w:rPr>
                <w:sz w:val="22"/>
                <w:szCs w:val="22"/>
                <w:color w:val="auto"/>
              </w:rPr>
            </w:pPr>
          </w:p>
        </w:tc>
        <w:tc>
          <w:tcPr>
            <w:tcW w:w="2440" w:type="dxa"/>
            <w:vAlign w:val="bottom"/>
          </w:tcPr>
          <w:p>
            <w:pPr>
              <w:jc w:val="center"/>
              <w:ind w:left="861"/>
              <w:spacing w:after="0"/>
              <w:rPr>
                <w:sz w:val="20"/>
                <w:szCs w:val="20"/>
                <w:color w:val="auto"/>
              </w:rPr>
            </w:pPr>
            <w:r>
              <w:rPr>
                <w:rFonts w:ascii="Times New Roman" w:cs="Times New Roman" w:eastAsia="Times New Roman" w:hAnsi="Times New Roman"/>
                <w:sz w:val="20"/>
                <w:szCs w:val="20"/>
                <w:color w:val="auto"/>
                <w:w w:val="99"/>
              </w:rPr>
              <w:t>(Zip Code)</w:t>
            </w:r>
          </w:p>
        </w:tc>
        <w:tc>
          <w:tcPr>
            <w:tcW w:w="0" w:type="dxa"/>
            <w:vAlign w:val="bottom"/>
          </w:tcPr>
          <w:p>
            <w:pPr>
              <w:spacing w:after="0"/>
              <w:rPr>
                <w:sz w:val="1"/>
                <w:szCs w:val="1"/>
                <w:color w:val="auto"/>
              </w:rPr>
            </w:pPr>
          </w:p>
        </w:tc>
      </w:tr>
    </w:tbl>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(770) 419-3355</w:t>
      </w:r>
    </w:p>
    <w:p>
      <w:pPr>
        <w:spacing w:after="0" w:line="32"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___________________________________________________________________________________</w:t>
      </w:r>
    </w:p>
    <w:p>
      <w:pPr>
        <w:spacing w:after="0" w:line="134"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 (see General Instruction A.2. below):</w:t>
      </w:r>
    </w:p>
    <w:p>
      <w:pPr>
        <w:spacing w:after="0" w:line="24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42"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42"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42" w:lineRule="exact"/>
        <w:rPr>
          <w:rFonts w:ascii="MS PGothic" w:cs="MS PGothic" w:eastAsia="MS PGothic" w:hAnsi="MS PGothic"/>
          <w:sz w:val="20"/>
          <w:szCs w:val="20"/>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202" w:lineRule="exact"/>
        <w:rPr>
          <w:sz w:val="24"/>
          <w:szCs w:val="24"/>
          <w:color w:val="auto"/>
        </w:rPr>
      </w:pPr>
    </w:p>
    <w:tbl>
      <w:tblPr>
        <w:tblLayout w:type="fixed"/>
        <w:tblInd w:w="600" w:type="dxa"/>
        <w:tblCellMar>
          <w:top w:w="0" w:type="dxa"/>
          <w:left w:w="0" w:type="dxa"/>
          <w:bottom w:w="0" w:type="dxa"/>
          <w:right w:w="0" w:type="dxa"/>
        </w:tblCellMar>
      </w:tblPr>
      <w:tr>
        <w:trPr>
          <w:trHeight w:val="243"/>
        </w:trPr>
        <w:tc>
          <w:tcPr>
            <w:tcW w:w="3380" w:type="dxa"/>
            <w:vAlign w:val="bottom"/>
          </w:tcPr>
          <w:p>
            <w:pPr>
              <w:jc w:val="center"/>
              <w:ind w:right="741"/>
              <w:spacing w:after="0"/>
              <w:rPr>
                <w:sz w:val="20"/>
                <w:szCs w:val="20"/>
                <w:color w:val="auto"/>
              </w:rPr>
            </w:pPr>
            <w:r>
              <w:rPr>
                <w:rFonts w:ascii="Times New Roman" w:cs="Times New Roman" w:eastAsia="Times New Roman" w:hAnsi="Times New Roman"/>
                <w:sz w:val="20"/>
                <w:szCs w:val="20"/>
                <w:b w:val="1"/>
                <w:bCs w:val="1"/>
                <w:color w:val="auto"/>
                <w:w w:val="99"/>
              </w:rPr>
              <w:t>Title of each class</w:t>
            </w:r>
          </w:p>
        </w:tc>
        <w:tc>
          <w:tcPr>
            <w:tcW w:w="340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Trading Symbol(s)</w:t>
            </w:r>
          </w:p>
        </w:tc>
        <w:tc>
          <w:tcPr>
            <w:tcW w:w="2940" w:type="dxa"/>
            <w:vAlign w:val="bottom"/>
          </w:tcPr>
          <w:p>
            <w:pPr>
              <w:jc w:val="center"/>
              <w:ind w:left="881"/>
              <w:spacing w:after="0"/>
              <w:rPr>
                <w:sz w:val="20"/>
                <w:szCs w:val="20"/>
                <w:color w:val="auto"/>
              </w:rPr>
            </w:pPr>
            <w:r>
              <w:rPr>
                <w:rFonts w:ascii="Times New Roman" w:cs="Times New Roman" w:eastAsia="Times New Roman" w:hAnsi="Times New Roman"/>
                <w:sz w:val="20"/>
                <w:szCs w:val="20"/>
                <w:b w:val="1"/>
                <w:bCs w:val="1"/>
                <w:color w:val="auto"/>
                <w:w w:val="98"/>
              </w:rPr>
              <w:t>Name of each exchange</w:t>
            </w:r>
          </w:p>
        </w:tc>
      </w:tr>
      <w:tr>
        <w:trPr>
          <w:trHeight w:val="262"/>
        </w:trPr>
        <w:tc>
          <w:tcPr>
            <w:tcW w:w="33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940" w:type="dxa"/>
            <w:vAlign w:val="bottom"/>
          </w:tcPr>
          <w:p>
            <w:pPr>
              <w:jc w:val="center"/>
              <w:ind w:left="921"/>
              <w:spacing w:after="0"/>
              <w:rPr>
                <w:sz w:val="20"/>
                <w:szCs w:val="20"/>
                <w:color w:val="auto"/>
              </w:rPr>
            </w:pPr>
            <w:r>
              <w:rPr>
                <w:rFonts w:ascii="Times New Roman" w:cs="Times New Roman" w:eastAsia="Times New Roman" w:hAnsi="Times New Roman"/>
                <w:sz w:val="20"/>
                <w:szCs w:val="20"/>
                <w:b w:val="1"/>
                <w:bCs w:val="1"/>
                <w:color w:val="auto"/>
                <w:w w:val="97"/>
              </w:rPr>
              <w:t>on which registered</w:t>
            </w:r>
          </w:p>
        </w:tc>
      </w:tr>
      <w:tr>
        <w:trPr>
          <w:trHeight w:val="283"/>
        </w:trPr>
        <w:tc>
          <w:tcPr>
            <w:tcW w:w="3380" w:type="dxa"/>
            <w:vAlign w:val="bottom"/>
          </w:tcPr>
          <w:p>
            <w:pPr>
              <w:jc w:val="center"/>
              <w:ind w:right="721"/>
              <w:spacing w:after="0"/>
              <w:rPr>
                <w:sz w:val="20"/>
                <w:szCs w:val="20"/>
                <w:color w:val="auto"/>
              </w:rPr>
            </w:pPr>
            <w:r>
              <w:rPr>
                <w:rFonts w:ascii="Times New Roman" w:cs="Times New Roman" w:eastAsia="Times New Roman" w:hAnsi="Times New Roman"/>
                <w:sz w:val="20"/>
                <w:szCs w:val="20"/>
                <w:color w:val="auto"/>
                <w:w w:val="98"/>
              </w:rPr>
              <w:t>Common Stock, $0.01 par value</w:t>
            </w:r>
          </w:p>
        </w:tc>
        <w:tc>
          <w:tcPr>
            <w:tcW w:w="340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9"/>
              </w:rPr>
              <w:t>AORT</w:t>
            </w:r>
          </w:p>
        </w:tc>
        <w:tc>
          <w:tcPr>
            <w:tcW w:w="2940" w:type="dxa"/>
            <w:vAlign w:val="bottom"/>
          </w:tcPr>
          <w:p>
            <w:pPr>
              <w:jc w:val="center"/>
              <w:ind w:left="921"/>
              <w:spacing w:after="0"/>
              <w:rPr>
                <w:sz w:val="20"/>
                <w:szCs w:val="20"/>
                <w:color w:val="auto"/>
              </w:rPr>
            </w:pPr>
            <w:r>
              <w:rPr>
                <w:rFonts w:ascii="Times New Roman" w:cs="Times New Roman" w:eastAsia="Times New Roman" w:hAnsi="Times New Roman"/>
                <w:sz w:val="20"/>
                <w:szCs w:val="20"/>
                <w:color w:val="auto"/>
                <w:w w:val="99"/>
              </w:rPr>
              <w:t>NYSE</w:t>
            </w:r>
          </w:p>
        </w:tc>
      </w:tr>
    </w:tbl>
    <w:p>
      <w:pPr>
        <w:spacing w:after="0" w:line="214"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1"/>
          <w:szCs w:val="21"/>
          <w:color w:val="auto"/>
        </w:rPr>
        <w:t>☐</w:t>
      </w:r>
    </w:p>
    <w:p>
      <w:pPr>
        <w:spacing w:after="0" w:line="203" w:lineRule="exact"/>
        <w:rPr>
          <w:sz w:val="24"/>
          <w:szCs w:val="24"/>
          <w:color w:val="auto"/>
        </w:rPr>
      </w:pPr>
    </w:p>
    <w:p>
      <w:pPr>
        <w:spacing w:after="0" w:line="283"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Artivion, Inc. (“Artivion” or the “Company”) identified and began taking measures to address a cybersecurity incident on November 21, 2024. Artivion’s response measures included taking certain systems offline, initiating an investigation, and engaging external advisors, including legal, cybersecurity, and forensics professionals to assess, contain, and remediate the incident. The incident involved the acquisition and encryption of files. The Company is working to securely restore its systems as quickly as possible and to evaluate any notification obligations.</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As of the date of this filing, we believe that the incident has not had a material impact on the Company’s overall financial condition or results of operations and that the incident is not reasonably likely to have a material impact on its financial conditions or results of operations. The Company continues to provide its products and services to customers, but the incident has caused disruptions to some order and shipping processes, as well as to certain corporate operations, which have largely been mitigated. The Company has and will continue to incur expenses related to its response to this incident, and the Company believes it has adequate insurance coverage. However, the Company believes that it will incur additional costs that will not be covered by insurance. The Company remains subject to various risks due to the incident, including the impact of delays in restoration, and, as a result, cannot provide assurances that the incident will not be determined to have a material impact in the future.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Forward-Looking Statements</w:t>
      </w:r>
    </w:p>
    <w:p>
      <w:pPr>
        <w:spacing w:after="0" w:line="2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Statements made in this Form 8-K that look forward in time or that express management’s beliefs, expectations, or hopes are forward-looking statements within the meaning of the Private Securities Litigation Reform Act of 1995. Such forward-looking statements reflect the views of management at the time such statements are made. These statements include, but are not limited to, those regarding actions being taken and that will be taken in response to the incident, expectations regarding insurance coverage, and our assessments of the likely financial and operational impacts of the incident. Responding to and assessing these types of incidents is inherently challenging and these forward-looking statements are subject to a number of risks, uncertainties, estimates, and assumptions that may cause actual results to differ materially from current expectations, many of which are out of our control. As a result, the financial and operational impact from the incident may be more severe than currently anticipated. Risks and uncertainties also include the risk factors detailed in our Securities and Exchange Commission filings, including our Form 10-K for the year ended December 31, 2023 and our Form 10-Q for the quarter ended September 30, 2024. Artivion does not undertake to update its forward-looking statements, whether as a result of new information, future events, or otherwise.</w:t>
      </w:r>
    </w:p>
    <w:p>
      <w:pPr>
        <w:spacing w:after="0" w:line="19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9.01(d)</w:t>
      </w:r>
      <w:r>
        <w:rPr>
          <w:sz w:val="20"/>
          <w:szCs w:val="20"/>
          <w:color w:val="auto"/>
        </w:rPr>
        <w:tab/>
      </w:r>
      <w:r>
        <w:rPr>
          <w:rFonts w:ascii="Times New Roman" w:cs="Times New Roman" w:eastAsia="Times New Roman" w:hAnsi="Times New Roman"/>
          <w:sz w:val="19"/>
          <w:szCs w:val="19"/>
          <w:b w:val="1"/>
          <w:bCs w:val="1"/>
          <w:color w:val="auto"/>
        </w:rPr>
        <w:t>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300" w:type="dxa"/>
            <w:vAlign w:val="bottom"/>
          </w:tcPr>
          <w:p>
            <w:pPr>
              <w:spacing w:after="0"/>
              <w:rPr>
                <w:sz w:val="22"/>
                <w:szCs w:val="22"/>
                <w:color w:val="auto"/>
              </w:rPr>
            </w:pPr>
          </w:p>
        </w:tc>
      </w:tr>
      <w:tr>
        <w:trPr>
          <w:trHeight w:val="453"/>
        </w:trPr>
        <w:tc>
          <w:tcPr>
            <w:tcW w:w="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Number</w:t>
            </w:r>
          </w:p>
        </w:tc>
        <w:tc>
          <w:tcPr>
            <w:tcW w:w="750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Description</w:t>
            </w: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310"/>
        </w:trPr>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right="34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Artivion, Inc. has duly caused this report to be signed on its behalf by the undersigned hereunto duly authorized.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December 9, 2024</w:t>
      </w:r>
    </w:p>
    <w:p>
      <w:pPr>
        <w:spacing w:after="0" w:line="25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ARTIVION, INC.</w:t>
      </w:r>
    </w:p>
    <w:p>
      <w:pPr>
        <w:spacing w:after="0" w:line="297" w:lineRule="exact"/>
        <w:rPr>
          <w:sz w:val="20"/>
          <w:szCs w:val="20"/>
          <w:color w:val="auto"/>
        </w:rPr>
      </w:pPr>
    </w:p>
    <w:tbl>
      <w:tblPr>
        <w:tblLayout w:type="fixed"/>
        <w:tblInd w:w="6360" w:type="dxa"/>
        <w:tblCellMar>
          <w:top w:w="0" w:type="dxa"/>
          <w:left w:w="0" w:type="dxa"/>
          <w:bottom w:w="0" w:type="dxa"/>
          <w:right w:w="0" w:type="dxa"/>
        </w:tblCellMar>
      </w:tblPr>
      <w:tr>
        <w:trPr>
          <w:trHeight w:val="259"/>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Lance A. Berry</w:t>
            </w:r>
          </w:p>
        </w:tc>
      </w:tr>
      <w:tr>
        <w:trPr>
          <w:trHeight w:val="247"/>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Lance A. Berry</w:t>
            </w:r>
          </w:p>
        </w:tc>
      </w:tr>
      <w:tr>
        <w:trPr>
          <w:trHeight w:val="256"/>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 and</w:t>
            </w:r>
          </w:p>
        </w:tc>
      </w:tr>
      <w:tr>
        <w:trPr>
          <w:trHeight w:val="258"/>
        </w:trPr>
        <w:tc>
          <w:tcPr>
            <w:tcW w:w="780" w:type="dxa"/>
            <w:vAlign w:val="bottom"/>
          </w:tcPr>
          <w:p>
            <w:pPr>
              <w:spacing w:after="0"/>
              <w:rPr>
                <w:sz w:val="22"/>
                <w:szCs w:val="22"/>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Vice President, Finance</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sectPr>
      <w:pgSz w:w="11900" w:h="16838" w:orient="portrait"/>
      <w:cols w:equalWidth="0" w:num="1">
        <w:col w:w="11240"/>
      </w:cols>
      <w:pgMar w:left="320" w:top="9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2024-12-09T06:03:44Z</dcterms:created>
  <dcterms:modified xsi:type="dcterms:W3CDTF">2024-12-09T06:03:44Z</dcterms:modified>
</cp:coreProperties>
</file>