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Berry Lance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4981</w:t>
            </w:r>
          </w:p>
        </w:tc>
        <w:tc>
          <w:tcPr>
            <w:tcW w:w="1380" w:type="dxa"/>
            <w:tcBorders/>
            <w:vAlign w:val="center"/>
          </w:tcPr>
          <w:p>
            <w:pPr>
              <w:pStyle w:val="TableContents"/>
              <w:bidi w:val="0"/>
              <w:spacing w:before="0" w:after="283"/>
              <w:jc w:val="left"/>
              <w:rPr/>
            </w:pPr>
            <w:r>
              <w:rPr/>
              <w:t>187223.34</w:t>
            </w:r>
          </w:p>
        </w:tc>
        <w:tc>
          <w:tcPr>
            <w:tcW w:w="1555" w:type="dxa"/>
            <w:tcBorders/>
            <w:vAlign w:val="center"/>
          </w:tcPr>
          <w:p>
            <w:pPr>
              <w:pStyle w:val="TableContents"/>
              <w:bidi w:val="0"/>
              <w:spacing w:before="0" w:after="283"/>
              <w:jc w:val="left"/>
              <w:rPr/>
            </w:pPr>
            <w:r>
              <w:rPr/>
              <w:t>47883897</w:t>
            </w:r>
          </w:p>
        </w:tc>
        <w:tc>
          <w:tcPr>
            <w:tcW w:w="1569" w:type="dxa"/>
            <w:tcBorders/>
            <w:vAlign w:val="center"/>
          </w:tcPr>
          <w:p>
            <w:pPr>
              <w:pStyle w:val="TableContents"/>
              <w:bidi w:val="0"/>
              <w:spacing w:before="0" w:after="283"/>
              <w:jc w:val="left"/>
              <w:rPr/>
            </w:pPr>
            <w:r>
              <w:rPr/>
              <w:t>02/23/2026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4981</w:t>
            </w:r>
          </w:p>
        </w:tc>
        <w:tc>
          <w:tcPr>
            <w:tcW w:w="1046" w:type="dxa"/>
            <w:tcBorders/>
            <w:vAlign w:val="center"/>
          </w:tcPr>
          <w:p>
            <w:pPr>
              <w:pStyle w:val="TableContents"/>
              <w:bidi w:val="0"/>
              <w:spacing w:before="0" w:after="283"/>
              <w:jc w:val="left"/>
              <w:rPr/>
            </w:pPr>
            <w:r>
              <w:rPr/>
              <w:t>02/20/2026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Gerardo Ibarra-Munoz, as a duly authorized representative of Fidelity Brokerage Services LLC, as attorney-in-fact for Lance Berry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3084</Characters>
  <CharactersWithSpaces>3634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