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2058946.xml.htm"/>
      <w:bookmarkStart w:id="1" w:name="kswkform4_17720589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Holloway Jean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1655 ROBERTS BLVD., NW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KENNESAW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ARTIVION,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AORT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5"/>
        <w:gridCol w:w="900"/>
        <w:gridCol w:w="771"/>
        <w:gridCol w:w="598"/>
        <w:gridCol w:w="345"/>
        <w:gridCol w:w="965"/>
        <w:gridCol w:w="446"/>
        <w:gridCol w:w="835"/>
        <w:gridCol w:w="1147"/>
        <w:gridCol w:w="986"/>
        <w:gridCol w:w="9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37.588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153,871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35.693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152,203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172,288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upon the vesting of performance stock units to pay tax withholding obligations. The sale was to satisfy tax withholding obligations to be funded by a "sell to cover" transaction and does not represent a discretionary transaction.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sold upon the vesting of restricted stock units to pay tax withholding obligations. The sale was to satisfy tax withholding obligations to be funded by a "sell to cover" transaction and does not represent a discretionary transaction.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shares of restricted stock that vest 33 1/3% per year beginning on the first anniversary of the grant date, pursuant to the terms of the Equity and Cash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Jean F Holloway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0065" TargetMode="External"/><Relationship Id="rId5" Type="http://schemas.openxmlformats.org/officeDocument/2006/relationships/hyperlink" Target="http://www.sec.gov/cgi-bin/browse-edgar?action=getcompany&amp;CIK=00007841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692</Words>
  <Characters>3707</Characters>
  <CharactersWithSpaces>4325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