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46" w:lineRule="exact"/>
        <w:rPr>
          <w:sz w:val="24"/>
          <w:szCs w:val="24"/>
          <w:color w:val="auto"/>
        </w:rPr>
      </w:pPr>
    </w:p>
    <w:p>
      <w:pPr>
        <w:ind w:left="80"/>
        <w:spacing w:after="0"/>
        <w:tabs>
          <w:tab w:leader="none" w:pos="1640" w:val="left"/>
        </w:tabs>
        <w:rPr>
          <w:sz w:val="20"/>
          <w:szCs w:val="20"/>
          <w:color w:val="auto"/>
        </w:rPr>
      </w:pP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8"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color w:val="auto"/>
        </w:rPr>
        <w:t>For the fiscal year ended December 31, 2023</w:t>
      </w:r>
    </w:p>
    <w:p>
      <w:pPr>
        <w:spacing w:after="0" w:line="44"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1500" w:hanging="1402"/>
        <w:spacing w:after="0"/>
        <w:tabs>
          <w:tab w:leader="none" w:pos="150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3000" w:type="dxa"/>
            <w:vAlign w:val="bottom"/>
            <w:gridSpan w:val="3"/>
          </w:tcPr>
          <w:p>
            <w:pPr>
              <w:ind w:left="6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900" w:type="dxa"/>
            <w:vAlign w:val="bottom"/>
            <w:gridSpan w:val="3"/>
          </w:tcPr>
          <w:p>
            <w:pPr>
              <w:ind w:left="20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57"/>
        </w:trPr>
        <w:tc>
          <w:tcPr>
            <w:tcW w:w="3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0" w:type="dxa"/>
            <w:vAlign w:val="bottom"/>
            <w:gridSpan w:val="4"/>
          </w:tcPr>
          <w:p>
            <w:pPr>
              <w:jc w:val="center"/>
              <w:ind w:right="4359"/>
              <w:spacing w:after="0"/>
              <w:rPr>
                <w:sz w:val="20"/>
                <w:szCs w:val="20"/>
                <w:color w:val="auto"/>
              </w:rPr>
            </w:pPr>
            <w:r>
              <w:rPr>
                <w:rFonts w:ascii="Times New Roman" w:cs="Times New Roman" w:eastAsia="Times New Roman" w:hAnsi="Times New Roman"/>
                <w:sz w:val="16"/>
                <w:szCs w:val="16"/>
                <w:color w:val="auto"/>
              </w:rPr>
              <w:t>Commission file number 1-13165</w:t>
            </w:r>
          </w:p>
        </w:tc>
      </w:tr>
      <w:tr>
        <w:trPr>
          <w:trHeight w:val="325"/>
        </w:trPr>
        <w:tc>
          <w:tcPr>
            <w:tcW w:w="3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0" w:type="dxa"/>
            <w:vAlign w:val="bottom"/>
            <w:gridSpan w:val="4"/>
          </w:tcPr>
          <w:p>
            <w:pPr>
              <w:jc w:val="center"/>
              <w:ind w:right="4359"/>
              <w:spacing w:after="0"/>
              <w:rPr>
                <w:sz w:val="20"/>
                <w:szCs w:val="20"/>
                <w:color w:val="auto"/>
              </w:rPr>
            </w:pPr>
            <w:r>
              <w:rPr>
                <w:rFonts w:ascii="Times New Roman" w:cs="Times New Roman" w:eastAsia="Times New Roman" w:hAnsi="Times New Roman"/>
                <w:sz w:val="25"/>
                <w:szCs w:val="25"/>
                <w:b w:val="1"/>
                <w:bCs w:val="1"/>
                <w:color w:val="auto"/>
                <w:w w:val="99"/>
              </w:rPr>
              <w:t>ARTIVION, INC.</w:t>
            </w:r>
          </w:p>
        </w:tc>
      </w:tr>
      <w:tr>
        <w:trPr>
          <w:trHeight w:val="234"/>
        </w:trPr>
        <w:tc>
          <w:tcPr>
            <w:tcW w:w="3340" w:type="dxa"/>
            <w:vAlign w:val="bottom"/>
          </w:tcPr>
          <w:p>
            <w:pPr>
              <w:spacing w:after="0"/>
              <w:rPr>
                <w:sz w:val="20"/>
                <w:szCs w:val="20"/>
                <w:color w:val="auto"/>
              </w:rPr>
            </w:pPr>
          </w:p>
        </w:tc>
        <w:tc>
          <w:tcPr>
            <w:tcW w:w="7900" w:type="dxa"/>
            <w:vAlign w:val="bottom"/>
            <w:gridSpan w:val="6"/>
          </w:tcPr>
          <w:p>
            <w:pPr>
              <w:jc w:val="center"/>
              <w:ind w:right="32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91"/>
        </w:trPr>
        <w:tc>
          <w:tcPr>
            <w:tcW w:w="3340" w:type="dxa"/>
            <w:vAlign w:val="bottom"/>
          </w:tcPr>
          <w:p>
            <w:pPr>
              <w:jc w:val="center"/>
              <w:ind w:left="217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900" w:type="dxa"/>
            <w:vAlign w:val="bottom"/>
            <w:gridSpan w:val="3"/>
          </w:tcPr>
          <w:p>
            <w:pPr>
              <w:jc w:val="right"/>
              <w:ind w:right="2339"/>
              <w:spacing w:after="0"/>
              <w:rPr>
                <w:sz w:val="20"/>
                <w:szCs w:val="20"/>
                <w:color w:val="auto"/>
              </w:rPr>
            </w:pPr>
            <w:r>
              <w:rPr>
                <w:rFonts w:ascii="Times New Roman" w:cs="Times New Roman" w:eastAsia="Times New Roman" w:hAnsi="Times New Roman"/>
                <w:sz w:val="16"/>
                <w:szCs w:val="16"/>
                <w:b w:val="1"/>
                <w:bCs w:val="1"/>
                <w:color w:val="auto"/>
              </w:rPr>
              <w:t>59-2417093</w:t>
            </w:r>
          </w:p>
        </w:tc>
      </w:tr>
      <w:tr>
        <w:trPr>
          <w:trHeight w:val="216"/>
        </w:trPr>
        <w:tc>
          <w:tcPr>
            <w:tcW w:w="6340" w:type="dxa"/>
            <w:vAlign w:val="bottom"/>
            <w:gridSpan w:val="4"/>
          </w:tcPr>
          <w:p>
            <w:pPr>
              <w:jc w:val="center"/>
              <w:ind w:right="648"/>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0" w:type="dxa"/>
            <w:vAlign w:val="bottom"/>
          </w:tcPr>
          <w:p>
            <w:pPr>
              <w:jc w:val="center"/>
              <w:ind w:right="9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64"/>
        </w:trPr>
        <w:tc>
          <w:tcPr>
            <w:tcW w:w="3340" w:type="dxa"/>
            <w:vAlign w:val="bottom"/>
          </w:tcPr>
          <w:p>
            <w:pPr>
              <w:spacing w:after="0"/>
              <w:rPr>
                <w:sz w:val="24"/>
                <w:szCs w:val="24"/>
                <w:color w:val="auto"/>
              </w:rPr>
            </w:pPr>
          </w:p>
        </w:tc>
        <w:tc>
          <w:tcPr>
            <w:tcW w:w="7900" w:type="dxa"/>
            <w:vAlign w:val="bottom"/>
            <w:gridSpan w:val="6"/>
          </w:tcPr>
          <w:p>
            <w:pPr>
              <w:jc w:val="center"/>
              <w:ind w:right="3239"/>
              <w:spacing w:after="0"/>
              <w:rPr>
                <w:sz w:val="20"/>
                <w:szCs w:val="20"/>
                <w:color w:val="auto"/>
              </w:rPr>
            </w:pPr>
            <w:r>
              <w:rPr>
                <w:rFonts w:ascii="Times New Roman" w:cs="Times New Roman" w:eastAsia="Times New Roman" w:hAnsi="Times New Roman"/>
                <w:sz w:val="16"/>
                <w:szCs w:val="16"/>
                <w:color w:val="auto"/>
              </w:rPr>
              <w:t>1655 Roberts Boulevard N.W., Kennesaw, GA 30144</w:t>
            </w:r>
          </w:p>
        </w:tc>
      </w:tr>
      <w:tr>
        <w:trPr>
          <w:trHeight w:val="243"/>
        </w:trPr>
        <w:tc>
          <w:tcPr>
            <w:tcW w:w="3340" w:type="dxa"/>
            <w:vAlign w:val="bottom"/>
          </w:tcPr>
          <w:p>
            <w:pPr>
              <w:spacing w:after="0"/>
              <w:rPr>
                <w:sz w:val="21"/>
                <w:szCs w:val="21"/>
                <w:color w:val="auto"/>
              </w:rPr>
            </w:pPr>
          </w:p>
        </w:tc>
        <w:tc>
          <w:tcPr>
            <w:tcW w:w="7900" w:type="dxa"/>
            <w:vAlign w:val="bottom"/>
            <w:gridSpan w:val="6"/>
          </w:tcPr>
          <w:p>
            <w:pPr>
              <w:jc w:val="center"/>
              <w:ind w:right="323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256"/>
        </w:trPr>
        <w:tc>
          <w:tcPr>
            <w:tcW w:w="3340" w:type="dxa"/>
            <w:vAlign w:val="bottom"/>
          </w:tcPr>
          <w:p>
            <w:pPr>
              <w:spacing w:after="0"/>
              <w:rPr>
                <w:sz w:val="22"/>
                <w:szCs w:val="22"/>
                <w:color w:val="auto"/>
              </w:rPr>
            </w:pPr>
          </w:p>
        </w:tc>
        <w:tc>
          <w:tcPr>
            <w:tcW w:w="7900" w:type="dxa"/>
            <w:vAlign w:val="bottom"/>
            <w:gridSpan w:val="6"/>
          </w:tcPr>
          <w:p>
            <w:pPr>
              <w:jc w:val="center"/>
              <w:ind w:right="3239"/>
              <w:spacing w:after="0"/>
              <w:rPr>
                <w:sz w:val="20"/>
                <w:szCs w:val="20"/>
                <w:color w:val="auto"/>
              </w:rPr>
            </w:pPr>
            <w:r>
              <w:rPr>
                <w:rFonts w:ascii="Times New Roman" w:cs="Times New Roman" w:eastAsia="Times New Roman" w:hAnsi="Times New Roman"/>
                <w:sz w:val="16"/>
                <w:szCs w:val="16"/>
                <w:color w:val="auto"/>
              </w:rPr>
              <w:t>Registrant’s telephone number, including area code (770) 419-3355</w:t>
            </w:r>
          </w:p>
        </w:tc>
      </w:tr>
      <w:tr>
        <w:trPr>
          <w:trHeight w:val="243"/>
        </w:trPr>
        <w:tc>
          <w:tcPr>
            <w:tcW w:w="3340" w:type="dxa"/>
            <w:vAlign w:val="bottom"/>
          </w:tcPr>
          <w:p>
            <w:pPr>
              <w:spacing w:after="0"/>
              <w:rPr>
                <w:sz w:val="21"/>
                <w:szCs w:val="21"/>
                <w:color w:val="auto"/>
              </w:rPr>
            </w:pPr>
          </w:p>
        </w:tc>
        <w:tc>
          <w:tcPr>
            <w:tcW w:w="7900" w:type="dxa"/>
            <w:vAlign w:val="bottom"/>
            <w:gridSpan w:val="6"/>
          </w:tcPr>
          <w:p>
            <w:pPr>
              <w:jc w:val="center"/>
              <w:ind w:right="32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310"/>
        </w:trPr>
        <w:tc>
          <w:tcPr>
            <w:tcW w:w="3340" w:type="dxa"/>
            <w:vAlign w:val="bottom"/>
            <w:tcBorders>
              <w:bottom w:val="single" w:sz="8" w:color="auto"/>
            </w:tcBorders>
          </w:tcPr>
          <w:p>
            <w:pPr>
              <w:jc w:val="center"/>
              <w:ind w:left="939"/>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10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2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340" w:type="dxa"/>
            <w:vAlign w:val="bottom"/>
          </w:tcPr>
          <w:p>
            <w:pPr>
              <w:jc w:val="center"/>
              <w:ind w:left="959"/>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jc w:val="center"/>
              <w:ind w:left="128"/>
              <w:spacing w:after="0"/>
              <w:rPr>
                <w:sz w:val="20"/>
                <w:szCs w:val="20"/>
                <w:color w:val="auto"/>
              </w:rPr>
            </w:pPr>
            <w:r>
              <w:rPr>
                <w:rFonts w:ascii="Times New Roman" w:cs="Times New Roman" w:eastAsia="Times New Roman" w:hAnsi="Times New Roman"/>
                <w:sz w:val="16"/>
                <w:szCs w:val="16"/>
                <w:color w:val="auto"/>
              </w:rPr>
              <w:t>AORT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None</w:t>
      </w:r>
    </w:p>
    <w:p>
      <w:pPr>
        <w:spacing w:after="0" w:line="59" w:lineRule="exact"/>
        <w:rPr>
          <w:sz w:val="24"/>
          <w:szCs w:val="24"/>
          <w:color w:val="auto"/>
        </w:rPr>
      </w:pPr>
    </w:p>
    <w:p>
      <w:pPr>
        <w:ind w:right="2560"/>
        <w:spacing w:after="0" w:line="32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w:t>
      </w:r>
    </w:p>
    <w:p>
      <w:pPr>
        <w:spacing w:after="0"/>
        <w:rPr>
          <w:sz w:val="20"/>
          <w:szCs w:val="20"/>
          <w:color w:val="auto"/>
        </w:rPr>
      </w:pPr>
      <w:r>
        <w:rPr>
          <w:rFonts w:ascii="Wingdings" w:cs="Wingdings" w:eastAsia="Wingdings" w:hAnsi="Wingdings"/>
          <w:sz w:val="16"/>
          <w:szCs w:val="16"/>
          <w:b w:val="1"/>
          <w:bCs w:val="1"/>
          <w:color w:val="auto"/>
        </w:rPr>
        <w:t>o</w:t>
      </w:r>
    </w:p>
    <w:p>
      <w:pPr>
        <w:spacing w:after="0" w:line="49"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(Check one).</w:t>
      </w:r>
    </w:p>
    <w:p>
      <w:pPr>
        <w:spacing w:after="0" w:line="49"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20" w:type="dxa"/>
            <w:vAlign w:val="bottom"/>
          </w:tcPr>
          <w:p>
            <w:pPr>
              <w:ind w:left="480"/>
              <w:spacing w:after="0"/>
              <w:rPr>
                <w:sz w:val="20"/>
                <w:szCs w:val="20"/>
                <w:color w:val="auto"/>
              </w:rPr>
            </w:pPr>
            <w:r>
              <w:rPr>
                <w:rFonts w:ascii="Wingdings" w:cs="Wingdings" w:eastAsia="Wingdings" w:hAnsi="Wingdings"/>
                <w:sz w:val="16"/>
                <w:szCs w:val="16"/>
                <w:b w:val="1"/>
                <w:bCs w:val="1"/>
                <w:color w:val="auto"/>
              </w:rPr>
              <w:t>x</w:t>
            </w:r>
          </w:p>
        </w:tc>
        <w:tc>
          <w:tcPr>
            <w:tcW w:w="50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80" w:type="dxa"/>
            <w:vAlign w:val="bottom"/>
          </w:tcPr>
          <w:p>
            <w:pPr>
              <w:ind w:left="52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2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50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80" w:type="dxa"/>
            <w:vAlign w:val="bottom"/>
          </w:tcPr>
          <w:p>
            <w:pPr>
              <w:ind w:left="520"/>
              <w:spacing w:after="0"/>
              <w:rPr>
                <w:sz w:val="20"/>
                <w:szCs w:val="20"/>
                <w:color w:val="auto"/>
              </w:rPr>
            </w:pPr>
            <w:r>
              <w:rPr>
                <w:rFonts w:ascii="Wingdings" w:cs="Wingdings" w:eastAsia="Wingdings" w:hAnsi="Wingdings"/>
                <w:sz w:val="16"/>
                <w:szCs w:val="16"/>
                <w:b w:val="1"/>
                <w:bCs w:val="1"/>
                <w:color w:val="auto"/>
                <w:w w:val="97"/>
              </w:rPr>
              <w:t>o</w:t>
            </w:r>
          </w:p>
        </w:tc>
      </w:tr>
      <w:tr>
        <w:trPr>
          <w:trHeight w:val="243"/>
        </w:trPr>
        <w:tc>
          <w:tcPr>
            <w:tcW w:w="196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508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Emerging growth company</w:t>
            </w:r>
          </w:p>
        </w:tc>
        <w:tc>
          <w:tcPr>
            <w:tcW w:w="680" w:type="dxa"/>
            <w:vAlign w:val="bottom"/>
          </w:tcPr>
          <w:p>
            <w:pPr>
              <w:ind w:left="520"/>
              <w:spacing w:after="0"/>
              <w:rPr>
                <w:sz w:val="20"/>
                <w:szCs w:val="20"/>
                <w:color w:val="auto"/>
              </w:rPr>
            </w:pPr>
            <w:r>
              <w:rPr>
                <w:rFonts w:ascii="Wingdings" w:cs="Wingdings" w:eastAsia="Wingdings" w:hAnsi="Wingdings"/>
                <w:sz w:val="16"/>
                <w:szCs w:val="16"/>
                <w:b w:val="1"/>
                <w:bCs w:val="1"/>
                <w:color w:val="auto"/>
                <w:w w:val="97"/>
              </w:rPr>
              <w:t>o</w:t>
            </w:r>
          </w:p>
        </w:tc>
      </w:tr>
    </w:tbl>
    <w:p>
      <w:pPr>
        <w:spacing w:after="0" w:line="16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3" w:lineRule="exact"/>
        <w:rPr>
          <w:sz w:val="24"/>
          <w:szCs w:val="24"/>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1" w:lineRule="exact"/>
        <w:rPr>
          <w:sz w:val="24"/>
          <w:szCs w:val="24"/>
          <w:color w:val="auto"/>
        </w:rPr>
      </w:pPr>
    </w:p>
    <w:p>
      <w:pPr>
        <w:jc w:val="both"/>
        <w:ind w:right="20"/>
        <w:spacing w:after="0" w:line="205"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jc w:val="both"/>
        <w:spacing w:after="0" w:line="195"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4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As of June 30, 2023 the aggregate market value of the voting stock of the Registrant held by non-affiliates of the registrant was $666,252,083 computed using the closing price of $17.19 per share of Common Stock on June 30, 2023, the last trading day of the registrant’s most recently completed second fiscal quarter, as reported by the New York Stock Exchange, based on management’s belief that Registrant has no affiliates other than its directors and executive officers.</w:t>
      </w: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380" w:type="dxa"/>
            <w:vAlign w:val="bottom"/>
          </w:tcPr>
          <w:p>
            <w:pPr>
              <w:spacing w:after="0"/>
              <w:rPr>
                <w:sz w:val="20"/>
                <w:szCs w:val="20"/>
                <w:color w:val="auto"/>
              </w:rPr>
            </w:pPr>
            <w:r>
              <w:rPr>
                <w:rFonts w:ascii="Times New Roman" w:cs="Times New Roman" w:eastAsia="Times New Roman" w:hAnsi="Times New Roman"/>
                <w:sz w:val="16"/>
                <w:szCs w:val="16"/>
                <w:color w:val="auto"/>
              </w:rPr>
              <w:t>As of February 16, 2024 the number of outstanding shares of Common Stock of the registrant was 41,225,138.</w:t>
            </w:r>
          </w:p>
        </w:tc>
        <w:tc>
          <w:tcPr>
            <w:tcW w:w="3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80" w:type="dxa"/>
            <w:vAlign w:val="bottom"/>
          </w:tcPr>
          <w:p>
            <w:pPr>
              <w:ind w:left="428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tc>
        <w:tc>
          <w:tcPr>
            <w:tcW w:w="3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380" w:type="dxa"/>
            <w:vAlign w:val="bottom"/>
          </w:tcPr>
          <w:p>
            <w:pPr>
              <w:jc w:val="center"/>
              <w:ind w:right="1199"/>
              <w:spacing w:after="0"/>
              <w:rPr>
                <w:sz w:val="20"/>
                <w:szCs w:val="20"/>
                <w:color w:val="auto"/>
              </w:rPr>
            </w:pPr>
            <w:r>
              <w:rPr>
                <w:rFonts w:ascii="Times New Roman" w:cs="Times New Roman" w:eastAsia="Times New Roman" w:hAnsi="Times New Roman"/>
                <w:sz w:val="16"/>
                <w:szCs w:val="16"/>
                <w:b w:val="1"/>
                <w:bCs w:val="1"/>
                <w:color w:val="auto"/>
                <w:w w:val="99"/>
              </w:rPr>
              <w:t>Document</w:t>
            </w:r>
          </w:p>
        </w:tc>
        <w:tc>
          <w:tcPr>
            <w:tcW w:w="3860" w:type="dxa"/>
            <w:vAlign w:val="bottom"/>
          </w:tcPr>
          <w:p>
            <w:pPr>
              <w:jc w:val="center"/>
              <w:ind w:right="1219"/>
              <w:spacing w:after="0"/>
              <w:rPr>
                <w:sz w:val="20"/>
                <w:szCs w:val="20"/>
                <w:color w:val="auto"/>
              </w:rPr>
            </w:pPr>
            <w:r>
              <w:rPr>
                <w:rFonts w:ascii="Times New Roman" w:cs="Times New Roman" w:eastAsia="Times New Roman" w:hAnsi="Times New Roman"/>
                <w:sz w:val="16"/>
                <w:szCs w:val="16"/>
                <w:b w:val="1"/>
                <w:bCs w:val="1"/>
                <w:color w:val="auto"/>
              </w:rPr>
              <w:t>Parts Into Which Incorporated</w:t>
            </w:r>
          </w:p>
        </w:tc>
        <w:tc>
          <w:tcPr>
            <w:tcW w:w="0" w:type="dxa"/>
            <w:vAlign w:val="bottom"/>
          </w:tcPr>
          <w:p>
            <w:pPr>
              <w:spacing w:after="0"/>
              <w:rPr>
                <w:sz w:val="1"/>
                <w:szCs w:val="1"/>
                <w:color w:val="auto"/>
              </w:rPr>
            </w:pPr>
          </w:p>
        </w:tc>
      </w:tr>
      <w:tr>
        <w:trPr>
          <w:trHeight w:val="168"/>
        </w:trPr>
        <w:tc>
          <w:tcPr>
            <w:tcW w:w="7380" w:type="dxa"/>
            <w:vAlign w:val="bottom"/>
          </w:tcPr>
          <w:p>
            <w:pPr>
              <w:jc w:val="center"/>
              <w:ind w:right="1199"/>
              <w:spacing w:after="0" w:line="168" w:lineRule="exact"/>
              <w:rPr>
                <w:sz w:val="20"/>
                <w:szCs w:val="20"/>
                <w:color w:val="auto"/>
              </w:rPr>
            </w:pPr>
            <w:r>
              <w:rPr>
                <w:rFonts w:ascii="Times New Roman" w:cs="Times New Roman" w:eastAsia="Times New Roman" w:hAnsi="Times New Roman"/>
                <w:sz w:val="16"/>
                <w:szCs w:val="16"/>
                <w:color w:val="auto"/>
              </w:rPr>
              <w:t>Proxy Statement for the Annual Meeting of Stockholders to be filed within 120 days after</w:t>
            </w:r>
          </w:p>
        </w:tc>
        <w:tc>
          <w:tcPr>
            <w:tcW w:w="3860" w:type="dxa"/>
            <w:vAlign w:val="bottom"/>
            <w:vMerge w:val="restart"/>
          </w:tcPr>
          <w:p>
            <w:pPr>
              <w:jc w:val="center"/>
              <w:ind w:right="1219"/>
              <w:spacing w:after="0"/>
              <w:rPr>
                <w:sz w:val="20"/>
                <w:szCs w:val="20"/>
                <w:color w:val="auto"/>
              </w:rPr>
            </w:pPr>
            <w:r>
              <w:rPr>
                <w:rFonts w:ascii="Times New Roman" w:cs="Times New Roman" w:eastAsia="Times New Roman" w:hAnsi="Times New Roman"/>
                <w:sz w:val="16"/>
                <w:szCs w:val="16"/>
                <w:color w:val="auto"/>
              </w:rPr>
              <w:t>Part III</w:t>
            </w:r>
          </w:p>
        </w:tc>
        <w:tc>
          <w:tcPr>
            <w:tcW w:w="0" w:type="dxa"/>
            <w:vAlign w:val="bottom"/>
          </w:tcPr>
          <w:p>
            <w:pPr>
              <w:spacing w:after="0"/>
              <w:rPr>
                <w:sz w:val="1"/>
                <w:szCs w:val="1"/>
                <w:color w:val="auto"/>
              </w:rPr>
            </w:pPr>
          </w:p>
        </w:tc>
      </w:tr>
      <w:tr>
        <w:trPr>
          <w:trHeight w:val="210"/>
        </w:trPr>
        <w:tc>
          <w:tcPr>
            <w:tcW w:w="7380" w:type="dxa"/>
            <w:vAlign w:val="bottom"/>
          </w:tcPr>
          <w:p>
            <w:pPr>
              <w:jc w:val="center"/>
              <w:ind w:right="1219"/>
              <w:spacing w:after="0"/>
              <w:rPr>
                <w:sz w:val="20"/>
                <w:szCs w:val="20"/>
                <w:color w:val="auto"/>
              </w:rPr>
            </w:pPr>
            <w:r>
              <w:rPr>
                <w:rFonts w:ascii="Times New Roman" w:cs="Times New Roman" w:eastAsia="Times New Roman" w:hAnsi="Times New Roman"/>
                <w:sz w:val="16"/>
                <w:szCs w:val="16"/>
                <w:color w:val="auto"/>
              </w:rPr>
              <w:t>December 31, 2023</w:t>
            </w:r>
          </w:p>
        </w:tc>
        <w:tc>
          <w:tcPr>
            <w:tcW w:w="3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39"/>
        </w:trPr>
        <w:tc>
          <w:tcPr>
            <w:tcW w:w="738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60" w:type="dxa"/>
            <w:vAlign w:val="bottom"/>
            <w:gridSpan w:val="9"/>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46"/>
        </w:trPr>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1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1B.</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1C.</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38</w:t>
            </w: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7.</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7A.</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53</w:t>
            </w:r>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8.</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55</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9.</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64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9A.</w:t>
            </w:r>
          </w:p>
        </w:tc>
        <w:tc>
          <w:tcPr>
            <w:tcW w:w="380" w:type="dxa"/>
            <w:vAlign w:val="bottom"/>
            <w:shd w:val="clear" w:color="auto" w:fill="CCEEFF"/>
          </w:tcPr>
          <w:p>
            <w:pPr>
              <w:spacing w:after="0"/>
              <w:rPr>
                <w:sz w:val="18"/>
                <w:szCs w:val="18"/>
                <w:color w:val="auto"/>
              </w:rPr>
            </w:pP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98</w:t>
            </w:r>
          </w:p>
        </w:tc>
      </w:tr>
      <w:tr>
        <w:trPr>
          <w:trHeight w:val="189"/>
        </w:trPr>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0000FF"/>
            </w:tcBorders>
            <w:gridSpan w:val="5"/>
          </w:tcPr>
          <w:p>
            <w:pPr>
              <w:spacing w:after="0" w:line="189" w:lineRule="exact"/>
              <w:rPr>
                <w:sz w:val="20"/>
                <w:szCs w:val="20"/>
                <w:color w:val="auto"/>
              </w:rPr>
            </w:pPr>
            <w:r>
              <w:rPr>
                <w:rFonts w:ascii="Times New Roman" w:cs="Times New Roman" w:eastAsia="Times New Roman" w:hAnsi="Times New Roman"/>
                <w:sz w:val="18"/>
                <w:szCs w:val="18"/>
                <w:color w:val="0000FF"/>
                <w:w w:val="98"/>
              </w:rPr>
              <w:t>Item 9B.</w:t>
            </w:r>
          </w:p>
        </w:tc>
        <w:tc>
          <w:tcPr>
            <w:tcW w:w="380" w:type="dxa"/>
            <w:vAlign w:val="bottom"/>
            <w:tcBorders>
              <w:top w:val="single" w:sz="8" w:color="CCEEFF"/>
            </w:tcBorders>
          </w:tcPr>
          <w:p>
            <w:pPr>
              <w:spacing w:after="0"/>
              <w:rPr>
                <w:sz w:val="16"/>
                <w:szCs w:val="16"/>
                <w:color w:val="auto"/>
              </w:rPr>
            </w:pPr>
          </w:p>
        </w:tc>
        <w:tc>
          <w:tcPr>
            <w:tcW w:w="1760" w:type="dxa"/>
            <w:vAlign w:val="bottom"/>
            <w:tcBorders>
              <w:top w:val="single" w:sz="8" w:color="0000FF"/>
            </w:tcBorders>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7420" w:type="dxa"/>
            <w:vAlign w:val="bottom"/>
            <w:tcBorders>
              <w:top w:val="single" w:sz="8" w:color="CCEEFF"/>
            </w:tcBorders>
            <w:gridSpan w:val="14"/>
          </w:tcPr>
          <w:p>
            <w:pPr>
              <w:spacing w:after="0"/>
              <w:rPr>
                <w:sz w:val="16"/>
                <w:szCs w:val="16"/>
                <w:color w:val="auto"/>
              </w:rPr>
            </w:pPr>
          </w:p>
        </w:tc>
        <w:tc>
          <w:tcPr>
            <w:tcW w:w="900" w:type="dxa"/>
            <w:vAlign w:val="bottom"/>
            <w:tcBorders>
              <w:top w:val="single" w:sz="8" w:color="CCEEFF"/>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99</w:t>
            </w:r>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9C.</w:t>
            </w: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 that Prevent Inspections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99</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2"/>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10.</w:t>
            </w:r>
          </w:p>
        </w:tc>
        <w:tc>
          <w:tcPr>
            <w:tcW w:w="420" w:type="dxa"/>
            <w:vAlign w:val="bottom"/>
            <w:tcBorders>
              <w:bottom w:val="single" w:sz="8" w:color="CCEEFF"/>
            </w:tcBorders>
            <w:gridSpan w:val="3"/>
            <w:shd w:val="clear" w:color="auto" w:fill="CCEEFF"/>
          </w:tcPr>
          <w:p>
            <w:pPr>
              <w:spacing w:after="0"/>
              <w:rPr>
                <w:sz w:val="18"/>
                <w:szCs w:val="18"/>
                <w:color w:val="auto"/>
              </w:rPr>
            </w:pPr>
          </w:p>
        </w:tc>
        <w:tc>
          <w:tcPr>
            <w:tcW w:w="414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040" w:type="dxa"/>
            <w:vAlign w:val="bottom"/>
            <w:tcBorders>
              <w:bottom w:val="single" w:sz="8" w:color="CCEEFF"/>
            </w:tcBorders>
            <w:gridSpan w:val="8"/>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100</w:t>
            </w: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11.</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102</w:t>
            </w:r>
          </w:p>
        </w:tc>
      </w:tr>
      <w:tr>
        <w:trPr>
          <w:trHeight w:val="20"/>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12.</w:t>
            </w:r>
          </w:p>
        </w:tc>
        <w:tc>
          <w:tcPr>
            <w:tcW w:w="420" w:type="dxa"/>
            <w:vAlign w:val="bottom"/>
            <w:tcBorders>
              <w:bottom w:val="single" w:sz="8" w:color="CCEEFF"/>
            </w:tcBorders>
            <w:gridSpan w:val="3"/>
            <w:shd w:val="clear" w:color="auto" w:fill="CCEEFF"/>
          </w:tcPr>
          <w:p>
            <w:pPr>
              <w:spacing w:after="0"/>
              <w:rPr>
                <w:sz w:val="18"/>
                <w:szCs w:val="18"/>
                <w:color w:val="auto"/>
              </w:rPr>
            </w:pPr>
          </w:p>
        </w:tc>
        <w:tc>
          <w:tcPr>
            <w:tcW w:w="7340" w:type="dxa"/>
            <w:vAlign w:val="bottom"/>
            <w:tcBorders>
              <w:bottom w:val="single" w:sz="8" w:color="0000FF"/>
            </w:tcBorders>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84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102</w:t>
            </w:r>
          </w:p>
        </w:tc>
      </w:tr>
      <w:tr>
        <w:trPr>
          <w:trHeight w:val="189"/>
        </w:trPr>
        <w:tc>
          <w:tcPr>
            <w:tcW w:w="140" w:type="dxa"/>
            <w:vAlign w:val="bottom"/>
          </w:tcPr>
          <w:p>
            <w:pPr>
              <w:spacing w:after="0"/>
              <w:rPr>
                <w:sz w:val="16"/>
                <w:szCs w:val="16"/>
                <w:color w:val="auto"/>
              </w:rPr>
            </w:pP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Item 13.</w:t>
            </w:r>
          </w:p>
        </w:tc>
        <w:tc>
          <w:tcPr>
            <w:tcW w:w="918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9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102</w:t>
            </w:r>
          </w:p>
        </w:tc>
      </w:tr>
      <w:tr>
        <w:trPr>
          <w:trHeight w:val="21"/>
        </w:trPr>
        <w:tc>
          <w:tcPr>
            <w:tcW w:w="14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9"/>
        </w:trPr>
        <w:tc>
          <w:tcPr>
            <w:tcW w:w="1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14.</w:t>
            </w:r>
          </w:p>
        </w:tc>
        <w:tc>
          <w:tcPr>
            <w:tcW w:w="420" w:type="dxa"/>
            <w:vAlign w:val="bottom"/>
            <w:gridSpan w:val="3"/>
            <w:shd w:val="clear" w:color="auto" w:fill="CCEEFF"/>
          </w:tcPr>
          <w:p>
            <w:pPr>
              <w:spacing w:after="0"/>
              <w:rPr>
                <w:sz w:val="16"/>
                <w:szCs w:val="16"/>
                <w:color w:val="auto"/>
              </w:rPr>
            </w:pPr>
          </w:p>
        </w:tc>
        <w:tc>
          <w:tcPr>
            <w:tcW w:w="918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102</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1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0"/>
        </w:trPr>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15.</w:t>
            </w:r>
          </w:p>
        </w:tc>
        <w:tc>
          <w:tcPr>
            <w:tcW w:w="420" w:type="dxa"/>
            <w:vAlign w:val="bottom"/>
            <w:tcBorders>
              <w:bottom w:val="single" w:sz="8" w:color="CCEEFF"/>
            </w:tcBorders>
            <w:gridSpan w:val="3"/>
            <w:shd w:val="clear" w:color="auto" w:fill="CCEEFF"/>
          </w:tcPr>
          <w:p>
            <w:pPr>
              <w:spacing w:after="0"/>
              <w:rPr>
                <w:sz w:val="18"/>
                <w:szCs w:val="18"/>
                <w:color w:val="auto"/>
              </w:rPr>
            </w:pPr>
          </w:p>
        </w:tc>
        <w:tc>
          <w:tcPr>
            <w:tcW w:w="3160" w:type="dxa"/>
            <w:vAlign w:val="bottom"/>
            <w:tcBorders>
              <w:bottom w:val="single" w:sz="8" w:color="0000FF"/>
            </w:tcBorders>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6020" w:type="dxa"/>
            <w:vAlign w:val="bottom"/>
            <w:tcBorders>
              <w:bottom w:val="single" w:sz="8" w:color="CCEEFF"/>
            </w:tcBorders>
            <w:gridSpan w:val="10"/>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103</w:t>
            </w:r>
          </w:p>
        </w:tc>
      </w:tr>
      <w:tr>
        <w:trPr>
          <w:trHeight w:val="203"/>
        </w:trPr>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9"/>
        </w:trPr>
        <w:tc>
          <w:tcPr>
            <w:tcW w:w="140" w:type="dxa"/>
            <w:vAlign w:val="bottom"/>
            <w:shd w:val="clear" w:color="auto" w:fill="CCEEFF"/>
          </w:tcPr>
          <w:p>
            <w:pPr>
              <w:spacing w:after="0"/>
              <w:rPr>
                <w:sz w:val="18"/>
                <w:szCs w:val="18"/>
                <w:color w:val="auto"/>
              </w:rPr>
            </w:pPr>
          </w:p>
        </w:tc>
        <w:tc>
          <w:tcPr>
            <w:tcW w:w="1020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900" w:type="dxa"/>
            <w:vAlign w:val="bottom"/>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6"/>
              </w:rPr>
              <w:t>104</w:t>
            </w:r>
          </w:p>
        </w:tc>
      </w:tr>
      <w:tr>
        <w:trPr>
          <w:trHeight w:val="1006"/>
        </w:trPr>
        <w:tc>
          <w:tcPr>
            <w:tcW w:w="14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82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106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Form 10-K includes “forward-looking statements” within the meaning of Section 27A of the Securities Act of 1933, as amended, and Section 21E of the Securities Exchange Act of 1934 (the “Exchange Act”). Forward-looking statements give our expectations or forecasts of future events as of the date of this Form 10-K. In some cases, words such as “could,” “may,” “might,” “will,” “would,” “shall,” “should,” “pro forma,” “potential,” “pending,” “intend,” “believe,” “expect,” “anticipate,” “estimate,” “plan,” “future,” “assume,” and variations of these types of words or other similar expressions identify forward-looking statements. These forward-looking statements are made pursuant to the safe harbor provisions of the Private Securities Litigation Reform Act of 1995. Readers are cautioned not to place undue reliance on these forward-looking statements, which are made as of the date of this Form 10-K.</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statements included herein, other than statements of historical facts, that address activities, events, or developments that we expect or anticipate will or may occur in the future, or that reflect our beliefs about the future and/or expectations, are forward-looking statements, including statements about the following:</w:t>
      </w:r>
    </w:p>
    <w:p>
      <w:pPr>
        <w:spacing w:after="0" w:line="203" w:lineRule="exact"/>
        <w:rPr>
          <w:sz w:val="20"/>
          <w:szCs w:val="20"/>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new products, new indications, global expansion, and business development are the four growth areas that will drive our business in the future;</w:t>
      </w: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the COVID-19 and similar pandemics and the wars in Ukraine and in the Gaza Strip and around Israel, may have on demand for and sales of our products and services, business operations, manufacturing operations, supply chain, cash flow, workforce, clinical and regulatory timelines, and our research and development projects;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general global, regional, or national economic downturns and macroeconomic trends, including heightened inflation, interest rate and currency fluctuations, as well as general or localized economic slowdowns or recessions may have on demand for and sales of our products and services, including ordering trends for international distributors based on currency fluctuations against the US dollar, and our business operations, manufacturing operations, supply chain, and workforce;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robustness of our global supply chain in light of current global and macroeconomic conditions and about the potential impact of supply chain disruptions, particularly disruptions to single and sole source suppliers and third-party manufacturing partners;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R&amp;D and product pipeline, including our beliefs about the timing of our clinical trials and product launches;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anticipation regarding the favorable attributes, benefits, and clinical advantages of our products and services, the basis on which our products and services compete, the benefits of our physician education activities, and the advantages of our relationships with organ and tissue procurement organizations and tissue banks;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future regulatory status of our medical devices and processed tissues, our compliance with applicable laws and regulations, and our ability to make timely transitions to our Notified Bodies and obtain renewals for our Conformité Européenne Mark product certification impacted by Brexit and the transition to the Medical Device Regulation in Europe, and the impact these transitions, renewals, and related processes may have on our business, including any impact on our customers' ordering patterns and our ability to supply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our global expansion efforts, including the international growth opportunity that would be provided by obtaining regulatory approval for BioGlue in China;</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impact lower INR anticoagulation therapy and transcatheter heart valve replacement may have on the number of patients choosing On-X mechanical heart valves;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advantages of our intellectual property and its significance to our segments and our business as a whole, and our beliefs about the present value and potential impairment of our intangible assets and leases;</w:t>
      </w:r>
    </w:p>
    <w:p>
      <w:pPr>
        <w:ind w:left="660" w:right="2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workforce, including our ability to attract and retain talent at all levels, and about our relationship with our workforce, including our works council in Germany and union in Brazil;</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potential information security vulnerabilities, and the associated potential adverse effects on our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dependencies affecting our ability to realize the anticipated business opportunities, growth prospects, synergies, and other benefits of the agreements with Endospan and Baxter and our acquisition of Ascyrus, and our beliefs about the costs and timelines for certain regulatory approvals and clinical trial milestones;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fair value of our acquisitions, divestitures, and other business development activities and the estimates and assumptions about the future achievements of milestones and future revenues and cash flows related to those business development activities, including our ability to achieve the milestones in the Ascyrus and Baxter transactions;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the anticipated benefits from our corporate reincorporation and rebranding and the risks posed by the same;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revenues for preservation services, particularly revenues for certain high-demand cardiac tissues, can vary from quarter-to-quarter and year-to-year due to a variety of factors including: quantity and type of incoming tissues, yields of tissue through the preservation process, timing of receipt of donor information, staffing levels, timing of the release of tissues to an implantable status, demand for certain tissue types due to the number and type of procedures being performed, and pressures from competing products or services;</w:t>
      </w:r>
    </w:p>
    <w:p>
      <w:pPr>
        <w:spacing w:after="0" w:line="2"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regarding the seasonal nature of the demand for some of our products and services and the reasons for such seasonality, if any, and regarding the impact of consignment inventory on product sales, if any;</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our cash from operations and existing cash and cash equivalents will enable us to meet our current operational liquidity needs for at least the next twelve months, our expectations regarding future cash requirements, and the impact that our cash requirements might have on our cash flows for the next twelve months;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impact on cash flows of undertaking significant business development activities and the potential need to obtain additional debt financing or equity financing;</w:t>
      </w: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will incur expenses for research and development projects, including for clinical research projects to gain regulatory approvals for products or indications, including On-X, aortic stent grafts, and BioGlue products, and for new products and technologies which will likely require additional investment, research, and new clinical studies or data;</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pending and potential legal or other governmental or regulatory proceedings;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impact of clinical research work and regulatory approvals for certain products or indications, including On-X, aortic stent grafts, and BioGlue products, and the CryoValve SG pulmonary heart valve if the US Food and Drug Administration reclassifies allograft heart valves as Class III medical devices;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beliefs and expectations regarding the utilization of net operating loss carryforwards from our acquisitions of JOTEC, On-X Life Technologies, Inc., Hemosphere, Inc., and Cardiogenesis Corporation;</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about our operating results which may fluctuate significantly on a periodic basis as a result of internal and external factors, including reduced demand for our products, the potential impact of GLP-1 drugs, healthcare workforce trends and labor disputes, regulatory challenges, the availability of products, materials, and supplies, strategic actions we take such as acquisitions or divestitures, unanticipated costs and expenses, market reception of our new or improved product offerings, and interest rate and currency fluctuations;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regarding projections of future financial and business performance; anticipated growth and trends in our business and the markets relevant to our business, including how our growth relates to our competitors; the robustness and reliability of our workforce and supply chain; future production capacity and product supply; the availability and benefits of our products in the future; and the expected timing and impact of our strategic initiatives.</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These and other forward-looking statements reflect the views of management at the time such statements are originally made based on certain assumptions and analyses made by us in light of our experience and our perception of historical trends, current conditions, and expected future developments, as well as other factors we believe are appropriate in the circumstances and are subject to a number of risks, uncertainties, estimates, and assumptions. Whether actual results and developments will conform with our expectations and predictions is subject to a number of risks and uncertainties which could cause actual results to differ materially and adversely from our expectations, including, without limitation, in addition to those specified in the text surrounding such statements, the risk factors discussed in Item 1A of this Form 10-K and other factors, many of which are beyond our control. Consequently, all of the forward-looking statements made in this Form 10-K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Readers are urged to carefully review and consider the various disclosures made in this Form 10-K and in other documents we file from time to time with the SEC that disclose risks and uncertainties that may affect our business. Unless specifically indicated otherwise, the forward-looking statements in this Form 10-K do not reflect the potential impact of any divestitures, mergers, acquisitions, or other business combinations that have not been completed as of the date of this filing. We assume no obligation, and expressly disclaim any duty, to update publicly any such forward-looking statements, whether as a result of new information, future events, or otherwise.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02" w:lineRule="auto"/>
        <w:rPr>
          <w:sz w:val="20"/>
          <w:szCs w:val="20"/>
          <w:color w:val="auto"/>
        </w:rPr>
      </w:pPr>
      <w:r>
        <w:rPr>
          <w:rFonts w:ascii="Times New Roman" w:cs="Times New Roman" w:eastAsia="Times New Roman" w:hAnsi="Times New Roman"/>
          <w:sz w:val="18"/>
          <w:szCs w:val="18"/>
          <w:color w:val="auto"/>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surgical sealants, On-X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mechanical heart valves and related surgical products (“On-X” products), and implantable cardiac and vascular human tissues. Aortic stent grafts include aortic arch stent grafts, abdominal stent grafts, and synthetic vascular grafts. Aortic arch stent grafts include our E-vita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Open NEO, E-vita Open Plus, the Ascyrus Medical Dissection Stent (“AMDS”) hybrid prosthesis, the NEXUS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endovascular stent graft system (“NEXUS”), the NEXUS DUO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aortic arch stent graft (“NEXUS DUO”), and E-vita Thoracic 3G products. Abdominal stent grafts include our E-xtra Design Engineering (including Artivex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E-nside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E-tegra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E-ventus</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BX, and E-liac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products. Surgical sealants include our BioGlue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Surgical Adhesive products (“BioGlue”). In addition to these four major product families, we sell or distribute PhotoFix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bovine surgical patches (“PhotoFix”) and CardioGenesis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cardiac laser therapy (prior to our abandonment of the business as of June 30, 2023). We began to manufacture and supply PerClot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hemostatic powder (“PerClot”) during the second quarter of 2023 (as part of the Transitional Manufacturing and Supply Agreement (“TMSA”) of the Baxter Transaction, described below).</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 2022 we converted our state of incorporation from Florida to Delaware, and on January 18, 2022 we changed our name from CryoLife, Inc. to Artivion, Inc. Our common stock is listed on the New York Stock Exchange under the symbol of “AORT” and traded under the symbol “CRY” prior to January 24,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main operating subsidiaries include JOTEC GmbH (“JOTEC”), a Hechingen, Germany-based endovascular and surgical products company acquired on December 1, 2017, On-X Life Technologies, Inc. (“On-X LTI”), an Austin, Texas-based mechanical heart valve company acquired on January 20, 2016, Ascyrus Medical GmbH, a manufacturing entity founded in September 2020, as well as approximately twenty additional country entities to provide sales and marketing support throughout the world.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 and Geographic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two reportable segments organized according to our products and services: Medical Devices and Preservation Services. The Medical Devices segment includes revenues from sales of aortic stent grafts, surgical sealants, On-X products, and other product revenues. The Preservation Services segment includes services revenues from the preservation of cardiac and vascular implantable human tissues. See Part II, Item 8, Note 16 of the “Notes to Consolidated Financial Statements” for further information on our segments and for our geographic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Artivion is committed to partnering with surgeons and cardiologists to deliver innovative technologies of unsurpassed quality that restore the health of patients with aortic disease. Our strategic plan is focused on four growth areas that we expect to drive our business in the future. We plan to drive growth through:</w:t>
      </w:r>
    </w:p>
    <w:p>
      <w:pPr>
        <w:spacing w:after="0" w:line="14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Products </w:t>
      </w:r>
      <w:r>
        <w:rPr>
          <w:rFonts w:ascii="Times New Roman" w:cs="Times New Roman" w:eastAsia="Times New Roman" w:hAnsi="Times New Roman"/>
          <w:sz w:val="18"/>
          <w:szCs w:val="18"/>
          <w:color w:val="auto"/>
        </w:rPr>
        <w:t>– Through product development and commercialization of new and next-generation products and services focused on aortic repair;</w:t>
      </w:r>
    </w:p>
    <w:p>
      <w:pPr>
        <w:spacing w:after="0" w:line="2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Indications – </w:t>
      </w:r>
      <w:r>
        <w:rPr>
          <w:rFonts w:ascii="Times New Roman" w:cs="Times New Roman" w:eastAsia="Times New Roman" w:hAnsi="Times New Roman"/>
          <w:sz w:val="18"/>
          <w:szCs w:val="18"/>
          <w:color w:val="auto"/>
        </w:rPr>
        <w:t>Through regulatory approvals in new markets and for new products, and through approvals for expanded indications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products and services;</w:t>
      </w: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Global Expansion </w:t>
      </w:r>
      <w:r>
        <w:rPr>
          <w:rFonts w:ascii="Times New Roman" w:cs="Times New Roman" w:eastAsia="Times New Roman" w:hAnsi="Times New Roman"/>
          <w:sz w:val="18"/>
          <w:szCs w:val="18"/>
          <w:color w:val="auto"/>
        </w:rPr>
        <w:t>– By entering new international markets, establishing new international direct sales territories, and developing our commercial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in new markets, including emerging markets, such as China and Brazil; and</w:t>
      </w:r>
    </w:p>
    <w:p>
      <w:pPr>
        <w:jc w:val="both"/>
        <w:ind w:left="660" w:hanging="328"/>
        <w:spacing w:after="0" w:line="253"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Business Development </w:t>
      </w:r>
      <w:r>
        <w:rPr>
          <w:rFonts w:ascii="Times New Roman" w:cs="Times New Roman" w:eastAsia="Times New Roman" w:hAnsi="Times New Roman"/>
          <w:sz w:val="18"/>
          <w:szCs w:val="18"/>
          <w:color w:val="auto"/>
        </w:rPr>
        <w:t>– By pursuing select acquisitions, licensing, and distribution opportunities that are aligned to our objectives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complement our existing products, services, and infrastructure. Examples include our acquisitions of JOTEC, On-X LTI, and Ascyrus Medical LLC (“Ascyrus”), and our distribution agreement and purchase option for NEXUS and NEXUS DUO (the “NEXUS Products”). To the extent that we identify, develop, or acquire non-core products or applications, we may dispose of these assets or pursue licensing or distribution agreements with third-party partners for development or commercialization such as the sale of the PerClot product line.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Products, Services, and Competition</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medical devices and preservation services are primarily used by cardiac and vascular surgeons to treat patients with aortic disease, including heart valve disease, aortic aneurysms and dissections, and, to a lesser extent, other conditions in cardiac and vascular surgery.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competition from several domestic and international medical device, pharmaceutical, and biopharmaceutical companies and from both for-profit and non-profit tissue processors. Many of our current and potential competitors have greater financial and personnel resources than we have. Some of these competitors might have greater experience in developing products, procuring tissues, conducting clinical trials, and obtaining regulatory approvals, and they might have large contracts with hospitals under which they can obtain purchase requirements that place our products at a disadvantage. Some of these competitors might obtain patent protection or approval or clearance by the US Food and Drug Administration (“FDA”) or foreign regulators sooner than we do. Some might have superior manufacturing efficiency, tissue processing capacity, and/or marketing capabilities. We cannot ensure that our current or future competitors will not succeed in developing alternative technologies, products, or services that have advantages over those that have been, or are being, developed by us or that would render our products or technologies obsolete or non-competitive. Any of these competitive disadvantages could materially, adversely affect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discuss the disease states in which we compete and our products, services, and technologies that treat these diseases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Aortic Disease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Aortic Valve Disease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Patients with heart disease can experience valve insufficiency, regurgitation, or stenosis that may require heart valve repair or replacement surgery. Patients with congenital cardiac defects such as tetralogy of fallot, truncus arteriosus, and pulmonary atresia can require complex cardiac reconstructive surgery to repair the defect. A variety of tissues and synthetic materials are implanted in these cardiac procedures. Implantable human tissues (allografts) and animal tissues (xenografts) as well as other synthetic materials may be used in cardiac procedures. Implantable devices may be entirely synthetic, such as mechanical heart valves, or contain both synthetic materials and xenograft tissue components, such as bioprosthetic heart valves. These devices may be implanted surgically through open heart surgery, or in some cases, without sternotomy through transcatheter valve replacement.</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Mechanical heart valves are durable and often last for the remainder of a patient’s life without replacement, even for relatively young patients with long life expectancies. Mechanical heart valves are readily available and are a less expensive solution for those requiring a heart valve replacement. Patients who receive mechanical heart valves are required to undergo long-term blood thinning or anticoagulation drug therapy to minimize the risk of thromboembolism, stroke, or other complications from the formation of blood clots.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Bioprosthetic heart valves are readily available and are a relatively inexpensive solution for those requiring a valve replacement. Bioprosthetic heart valves contain bovine, equine, or porcine tissues that are typically processed with glutaraldehyde, which may result in progressive calcification, or hardening of the tissue over time, reducing the lifespan of the device. Bioprosthetic heart valves usually have a life of 7 to 15 years, after which the valve typically must be replaced. These valves typically contain a synthetic sewing ring to facilitate surgical implantation. Patients receiving a bioprosthetic heart valve may not require long-term anticoagulation drug therapy, although some of these patients may require anticoagulation drug therapy for other heart or vascular conditions that are common in this patient population.</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Multiple heart valve replacements, each requiring open heart surgery, can be a significant concern for patients, particularly younger patients that tend to choose mechanical heart valves over bioprosthetic heart valves. On the other hand, the requirement that mechanical heart valve recipients undergo long-term anticoagulation drug therapy can be a concern for patients that may lead some patients to choose bioprosthetic heart valves over mechanical heart valves.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Both mechanical heart valves and bioprosthetic heart valves contain a synthetic sewing ring to facilitate surgical implantation of the device. The sewing rings of both mechanical and bioprosthetic heart valves are synthetic materials that may harbor bacteria and lead to endocarditis and infection that can be difficult to treat with antibiotics. Patients with an infected mechanical or bioprosthetic heart valve may require valve replacement surgery. The 2013 Society of Thoracic Surgeons Guidelines, as published in the Annals of Thoracic Surgery, have increased the indication (from Class II to Class I) and broadened the scope for using an aortic allograft, or a human heart valve, during aortic valve replacement surgery due to endocarditis. The Class I indication means that an aortic allograft is the recommended course of treatment when endocarditis has functionally destroyed the aortic valve annulus. The previous Class II indication meant that it was an acceptable course of treatment.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Human heart valves are used in valve replacement procedures. Human heart valves allow for more normal blood flow, often provide higher cardiac output than mechanical and bioprosthetic heart valves, and do not require long-term anticoagulation drug therapy. Human tissue responds better to treatment for infections, and consequently, for many physicians, human heart valves are the preferred alternative to animal-derived and mechanical heart valves for patients who have, or are at risk to contract, endocarditis. Human tissue valves also are not as susceptible to progressive calcification as glutaraldehyde-fixed bioprosthetic tissues. A Ross Procedure may be a preferred surgical technique by physicians and patients, particularly for young patients, due to the human heart valve’s long-term resistance to calcification and the patient’s relative freedom from re-intervention surgery. In a Ross Procedure, a diseased aortic valve is replaced with a patient’s own pulmonary valve, which is in turn replaced with a donated human pulmonary valve.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Human tissue patches are used in a variety of cardiac repair procedures. Human vascular tissues are used in cardiac and vascular bypass surgery. The transplant of any human tissue that has not been preserved, however, must be accomplished within extremely short time limits. Cryopreservation, or cooling and storing at extremely cold temperatures, expands the treatment options available by extending these timelines. Cryopreserved human tissue patches and human vascular tissues are available for use in a variety of cardiac and vascular procedures.</w:t>
      </w:r>
    </w:p>
    <w:p>
      <w:pPr>
        <w:spacing w:after="0" w:line="1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currently market the On-X aortic and mitral mechanical heart valves for valve replacement procedures. We also market our cardiac preservation services, including our CryoValve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CryoValve SG human tissues, for heart valve replacement surgeries and our CryoPatch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CryoPatch SG human tissues for cardiac repair procedures. Our PhotoFix product is a bovine patch device used for cardiac and vascular repair.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Aortic Aneurysms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aorta is the main artery that carries blood out of the heart from the aortic valve to the rest of the body. It extends upwards from the heart through the aortic arch and then down through the chest and into the abdomen, where it divides into arteries that supply each leg. The aorta is comprised of five segments: ascending, arch, thoracic, thoraco-abdominal, and abdominal. In some patients, part of the aorta can become abnormally large or bulge, referred to as an “aneurysm.”</w:t>
      </w:r>
    </w:p>
    <w:p>
      <w:pPr>
        <w:spacing w:after="0" w:line="1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An aneurysm results from a weakening in the wall of an aorta, which causes the aorta to progressively “balloon” or expand in size. Although an aneurysm can develop anywhere along the aorta, most occur in the section running through the abdomen (abdominal aortic aneurysms or “AAA”). Others occur in the section that runs through the chest (thoracic aortic aneurysms or “TAA”) or the area between the chest and the abdomen (thoraco-abdominal aortic aneurysms or “TAAA”). The precise cause of aortic aneurysms is uncertain, but risk factors include high blood pressure, high cholesterol, smoking, obesity, and being male. As an aneurysm grows, the wall of the aorta is progressively weakened until it can split or tear resulting in a ruptured aorta or an aortic dissection. Left untreated, aortic aneurysms can result in a ruptured aorta, leading to death.</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two types of aortic aneurysm repair: open surgical repair and endovascular repair. Open surgical repair can result in reasonable long-term survival but carries risks especially in older patients and those with other serious medical conditions. During open surgical repair, a vascular graft is implanted from above the aneurysm to below the aneurysm in the aorta. Blood will then flow through the graft. This surgery reinforces the diseased aorta and reduces the chance of vessel rupture.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Endovascular repair is a minimally invasive procedure, during which a stent graft is delivered through the femoral artery to the area in the aorta needing repair. The stent graft expands inside the aorta and becomes the new channel for blood flow. The stent graft shields the aneurysm and helps prevent more pressure from building on it, thus preventing it from rupturing.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Following our acquisition of JOTEC, we began commercialization of a broad portfolio of endovascular products for repair of aortic aneurysms. These include highly differentiated products, such as E-xtra Design Engineering, a portfolio of stent grafts tailor-made for a patient’s anatomy for TAAA repair, and the E-liac</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repair of aneurysms in the iliac arteries, as well as less differentiated products, including the E-vita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Thoracic 3G for TAA repair and the E-tegra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for AAA repair.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Aortic Dissections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aortic dissection occurs when the innermost layer of the aorta tears and blood surges through the tear separating the inner layer from the outer layers of the aorta. Younger patients with inherited connective tissue disorders, such as Marfan syndrome, and patients with bicuspid aortic valves (two leaflets on the valve instead of three) are more likely to develop aortic dissection. In addition, as an aneurysm grows, the wall of the aorta is progressively weakened until it can split or tear, resulting in a ruptured aorta or an aortic dissection. Left untreated, an aortic dissection often results in a ruptured aorta, leading to death.</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Aortic dissections often begin in the ascending aorta or aortic arch and may also have an aneurysm or an aortic dissection extending down the descending thoracic aorta. Often, the dissection in the aortic arch and the condition in the descending thoracic aorta are repaired in a two-stage procedure, with one open surgical procedure to repair the arch followed by another procedure to repair the descending thoracic aorta. We sell the E-vita Open Plus, E-vita Open NEO, and AMDS as well as distribute the NEXUS Products to treat these conditions impacting the aortic arch and thoracic aorta.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Disease States – Peripheral Vascular Disease and End Stage Renal Disease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Patients with peripheral vascular disease can experience reduced blood flow, usually in the arms and legs. This can result in poor circulation, pain, and sores that do not heal. Failure to achieve revascularization of an obstructed vessel may result in the loss of a limb or even death of the patient. When patients require peripheral bypass surgery, the surgeon’s first choice generally is a graft of the patient’s own tissue (an autograft). In cases of advanced vascular disease, however, patients may not have suitable vascular tissue for transplantation. Other vascular repair procedures include procedures related to infected abdominal aortic grafts, vascular access for dialysis patients, carotid endarterectomy, and vessel repair. These procedures may include the use of bioprosthetic grafts or patches, synthetic grafts or patches, or donated human vascular tissues. Alternative treatments may include the repair, partial removal, or complete removal of the damaged tissue.</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End-stage renal disease (“ESRD”) refers to the stage of renal disease when the kidneys do not work well enough for the patient to live without on-going dialysis or kidney transplant. Patients with ESRD often undergo hemodialysis through an access site with an implanted vascular graft. We market our CryoVein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femoral vein and CryoArtery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femoral artery vascular preservation services for vascular access.</w:t>
      </w:r>
    </w:p>
    <w:p>
      <w:pPr>
        <w:spacing w:after="0" w:line="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Bioprosthetic vascular grafts and patches, including those made of bovine or porcine tissue, can be used for a variety of vascular repair procedures. Bioprosthetic grafts are readily available and are a relatively inexpensive solution for those requiring a vascular repair procedure. Bioprosthetic tissues are typically processed with glutaraldehyde, which may result in progressive calcification.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Synthetic vascular grafts and patches can be used for a variety of vascular repair procedures. Synthetic grafts are readily available and are a relatively inexpensive solution for those requiring a vascular repair procedure. Synthetic grafts and patches, however, are generally not suitable for use in infected areas because they may harbor bacteria and are difficult to treat with antibiotics. Synthetic vascular grafts have a tendency to obstruct over time, particularly in below-the-knee surgeries.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Human vascular tissues tend to respond better to treatment for infection and remain open and accessible for longer periods of time and, as such, are used in indications where synthetic grafts typically fail, such as in infected areas and for below-the-knee surgeries. Human vascular and arterial tissues are also used in a variety of other reconstruction procedures such as cardiac bypass surgery and as vascular access grafts for hemodialysis patients. The transplant of human tissue that has not been preserved must be accomplished within extremely short time limits. Cryopreservation expands the treatment options available by extending these timelines.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market our vascular preservation services, including our CryoVein and CryoArtery tissues, and a synthetic surgical graft portfolio for peripheral vascular reconstruction surgeries.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Categories and Products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On-X Mechanical Heart Valves</w:t>
      </w:r>
    </w:p>
    <w:p>
      <w:pPr>
        <w:spacing w:after="0" w:line="1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On-X product line includes the On-X prosthetic aortic and mitral heart valves and the On-X ascending aortic prosthesis (“AAP”). We also distribute CarbonAid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diffusion catheters and sell Chord-X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ePTFE sutures for mitral chordal replacement, and we offer pyrolytic carbon coating services to other medical device manufacturers as part of the On-X family of products.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On-X heart valves are bileaflet mechanical valves composed of a graphite substrate coated with our silicon-free pyrolytic carbon coating that provides a smooth microstructure surface. We believe that the smooth pyrolytic carbon surface and other characteristics of the valve, such as full, 90-degree leaflet opening of the valve and flared valve inlet, contribute to the flow dynamics of the On-X valve. The On-X AAP is an On-X aortic valve combined with a synthetic vascular graft to allow physicians to more conveniently treat patients requiring both an aortic valve replacement and replacement of a portion of the ascending aorta with an aortic graft. Each device is available in a range of valve sizes in a variety of sewing ring options to suit physicians’ preferences, along with dedicated instruments to facilitate valve sizing and implantation. On-X heart valves are FDA approved for the replacement of diseased, damaged, or malfunctioning native or prosthetic heart valves in the aortic and mitral positions and are classified as a Class III medical device. We also hold a Conformité Européene Mark product certification (“CE Mark”) for On-X heart valves.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mechanical heart valve patients require long-term anticoagulation drug therapy with a drug called warfarin to reduce the risk of blood clots and stroke. Because warfarin can also cause a risk of harmful bleeding, dosage must be monitored and may require adjustment over time. Certain dietary restrictions may also be imposed on warfarin patients.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the FDA approved the On-X aortic valve for use with a lower INR (International Normalized Ratio), which means that patients with On-X aortic heart valves can be managed on lower doses of warfarin for anticoagulation. This new indication was, and still is, unique to the On-X aortic valve and was based on a prospective, randomized, controlled clinical trial called PROACT comparing a reduced versus standard warfarin dose for On-X heart valve recipients. In the aortic valve replacement arm of the trial, the reduced warfarin dose group had 60% fewer bleeding events without an increased risk of stroke. The 2020 American Heart Association / American College of Cardiology guidelines specifically mentioned On-X aortic heart valves as the only mechanical aortic heart valve that can be managed at a low INR of 1.5-2.0. Recent real-world data from 510 On-X aortic heart valve patients was presented at the 2023 Annual European Association for Cardio-Thoracic Surgery Conference and showed one-year outcomes of On-X aortic heart valves at low INR (1.5-2.0) reduces risk of major bleeding by more than 84%, proving safe for patients with no significant increase in thromboembolic events and no valve thrombosis.</w:t>
      </w:r>
    </w:p>
    <w:p>
      <w:pPr>
        <w:spacing w:after="0" w:line="20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While use of a lower INR has been approved for the On-X aortic heart valve, such use in mechanical mitral heart valves has not been approved by the FDA.</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On-X heart valves compete primarily with mechanical valves from Abbott Laboratories, Medtronic, plc. (“Medtronic”), and Corcym S.r.l. (who completed acquisition of the LivaNova heart valve business in June 2021) (“Corcym”). On-X heart valves compete with these products based on their features and benefits, such as full, 90-degree leaflet opening, pure pyrolytic carbon, flared inlet, and approved labeling claim for reduced INR for aortic valves.</w:t>
      </w:r>
    </w:p>
    <w:p>
      <w:pPr>
        <w:spacing w:after="0" w:line="1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began selling On-X heart valves in January 2016 following our acquisition of On-X LTI. We sell On-X heart valves throughout the world including North America, Europe, the Middle East, and Africa (collectively, “EMEA”), Asia Pacific (“APAC”), and Latin America (“LATAM”).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Aortic Stent Graft</w:t>
      </w:r>
      <w:r>
        <w:rPr>
          <w:rFonts w:ascii="Times New Roman" w:cs="Times New Roman" w:eastAsia="Times New Roman" w:hAnsi="Times New Roman"/>
          <w:sz w:val="22"/>
          <w:szCs w:val="22"/>
          <w:b w:val="1"/>
          <w:bCs w:val="1"/>
          <w:color w:val="auto"/>
        </w:rPr>
        <w:t>s</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Hybrid stent grafts, surgical grafts, and endovascular stent grafts can be used in the treatment of complex thoracic and abdominal aortic disease, such as aortic dissections and aortic aneurysms, as well as in other aortic and peripheral procedures.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Thoracic Stents and Stent Grafts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E-vita Open NEO</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E-vita Open NEO is the next generation of the E-vita Open Plus hybrid stent graft, with an updated delivery system and improved handling. We obtained a CE Mark for E-vita Open NEO in the first quarter of 2020 and began limited distribution of E-vita Open NEO in the second quarter of 2020 with full product launch in the fourth quarter of 2020.</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E-vita Open NEO is a hybrid stent graft system used in the treatment of patients with either an aneurysm or dissection in the aortic arch and in the descending thoracic aorta. The E-vita Open NEO stent graft system enables a one-stage treatment to repair this condition through a combined surgical and endovascular treatment, providing a more cost-effective solution for the healthcare system and allowing the patient to avoid an additional operation.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obtained marketing approvals in addition to the CE Mark for the E-vita Open NEO in other countries throughout the world. The E-vita Open NEO competes outside the US with products from Terumo Medical Corporation (“Terumo”, formerly Vascutek) and two smaller companies. We do not currently sell E-vita Open NEO in the US. The E-vita Open NEO competes in Europe primarily on its proven stent graft technology and long-term clinical data. The CE Mark for the E-vita Open Plus expired in 2022 and the product will be discontinued when the remaining inventory is depleted.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AMDS</w:t>
      </w:r>
      <w:r>
        <w:rPr>
          <w:rFonts w:ascii="Times New Roman" w:cs="Times New Roman" w:eastAsia="Times New Roman" w:hAnsi="Times New Roman"/>
          <w:sz w:val="23"/>
          <w:szCs w:val="23"/>
          <w:b w:val="1"/>
          <w:bCs w:val="1"/>
          <w:i w:val="1"/>
          <w:iCs w:val="1"/>
          <w:color w:val="auto"/>
          <w:vertAlign w:val="superscript"/>
        </w:rPr>
        <w:t>TM</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acquired Ascyrus in September 2020. Ascyrus developed the AMDS hybrid prosthesis, the world's first aortic arch remodeling device for use in the treatment of acute Type A aortic dissection. Hemi-arch reconstruction is the standard of care for the treatment of acute Type A aortic dissection. AMDS is used as a complement to, and in conjunction with, hemi-arch reconstruction without adding technical complexity to this life-saving procedure. The design of the AMDS allows for rapid deployment of the graft in the aortic arch during a standard replacement of the ascending aorta, adding on average fifteen minutes to the procedure time. The deployment of the AMDS preserves the native arch, potentially allowing for minimally invasive re-interventions as needed, including the repair of additional entry tears, rather than an invasive arch repair. In the Dissected Aorta Repair Through Stent clinical trial supporting its CE Mark and Health Canada approvals, the AMDS was shown to reduce mortality, complications, and reoperations compared to the standard of care, thereby improving the care of patients and offering significant cost savings for the health care system.</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AMDS indirectly competes with other manufacturers’ standard open surgical repair and hybrid procedures including aortic debranching and frozen elephant trunk technique for total arch replacement. We began selling AMDS in September 2020 following the acquisition of Ascyrus. We sell AMDS outside of the US, including in EMEA, Canada, APAC, and LATAM. Enrollment for the PERSEVERE clinical trial to gain US approval was completed in November of 2023. We currently anticipate receiving a Premarket Approval (“PMA”) from the FDA for the AMDS in late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NEXUS Products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distribute the NEXUS Products in certain countries in Europe under an exclusive distribution agreement with Endospan Ltd. (“Endospan”), an Israeli corporation. Endospan holds a CE Mark for NEXUS which is the only endovascular stent graft system approved for the repair of both aneurysms and dissections in the aortic arch and markets the NEXUS DUO as a custom-made alternative for flexible aortic arch repair. NEXUS DUO is a low profile, custom made aortic arch system designed to treat a range of aortic arch pathologies including chronic dissection, aortic aneurysm, penetrating aortic ulcer, as well as intramural hematoma. Unlike the NEXUS off-the-shelf device, NEXUS DUO includes a secondary branch designed to minimize surgical preparation for patients undergoing endovascular repair of the aortic arch. While open surgical repair remains the standard of care for complete aortic arch replacement, endovascular repair offers an alternative, less invasive procedure to treat the aortic arch with decreased surgical morbidity and mortality. The ability to repair the aortic arch with an endovascular approach is especially advantageous for elderly patients who are not suited for open surgery and for patients who were previously treated for a Type A dissection in an open surgical approach. The addition of the NEXUS Products to our highly differentiated aortic stent graft portfolio further strengthens our position as a leader in the aortic repair market.</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Several other manufacturers are introducing competitive products through the custom-made device process in Europe and the early feasibility process within the US, including Cook, Gore, and Terumo. The NEXUS Products also compete with other manufacturers’ standard open repair and hybrid procedures including aortic debranching, frozen elephant trunk, and thoracic endovascular aortic repair with chimneys or snorkels.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began distribution of NEXUS in the fourth quarter of 2019 in EMEA. The first implant of the next generation NEXUS DUO, the dual branch graft system in the NEXUS product line, occurred in the fourth quarter of 2022 as a limited market release.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entered into a securities purchase option agreement with Endospan in September 2019 which provides us the option to purchase all the outstanding securities of Endospan from Endospan’s securityholders at the time of acquisition (or the option to acquire all of Endospan’s assets) up through a certain period of time after FDA approval of NEXUS. Endospan is currently enrolling patients in their US pivotal trial, TRIOMPHE.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E-vita Thoracic 3G</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E-vita Thoracic 3G is a stent graft system that enables endovascular treatment of TAAs. Its unique spring configuration gives the stent graft flexibility, helping the stent graft adapt to the vessel's shape and ensuring a good seal at the landing zone, even in the case of complex vascular anatomy. Compared to its competing products, its different proximal and distal stent graft configurations, as well as straight and conical designs, enable individual treatment of the diseased aorta. The product line includes a wide portfolio of tapered versions from proximal to distal. The wide variety ensures the possibility of adapting the stent graft to the native course of the descending aorta. The E-vita Thoracic 3G is sometimes used in conjunction with the E-vita Open NEO and E-xtra Design Engineering.</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Until 2022 we held a CE Mark for the E-vita Thoracic 3G and additional marketing approvals have been granted in several other countries throughout the world. The E-vita Thoracic 3G competes primarily with products from Medtronic, Gore, Terumo, and Cook.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Thoraco-abdominal Stents and Stent Grafts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 Design Engineering</w:t>
      </w:r>
    </w:p>
    <w:p>
      <w:pPr>
        <w:spacing w:after="0" w:line="20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E-xtra Design Engineering is a comprehensive range of stent graft systems for the treatment of aortic vascular diseases that enables surgeons to quickly and efficiently respond to an individual patient’s therapeutic requirements. E-xtra Design Engineering stent graft systems are tailor-made for individual patients based on imaging of the patient’s own aorta. There are currently only limited off-the-shelf products to treat aneurysms in the thoraco-abdominal aorta due to the many side branches in this anatomy where blood flow to vital organs would be obstructed by unbranched stent grafts. We have pioneered a service whereby we can manufacture a customized thoraco-abdominal stent graft in three weeks or less. Our custom E-xtra Design Engineering stent graft system includes TAAA and Artivex</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Thoracic Extension Stent Graft System (“Artivex”). Our custom TAAA is often used in conjunction with E-vita Thoracic 3G, as well as the AAA offering, the E-tegra, or in combination with both. In December 2023 we launched Artivex as part of our E-xtra Design Engineering stent graft systems in EMEA. Artivex is indicated for use in both thoraco-abdominal aneurysms and dissections extending into the thoraco-abdominal aorta.</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sell custom TAAA, and anticipate selling Artivex during fiscal year 2024, in EMEA and in a limited number of other countries around the world. TAAA competes with customized product offerings from Cook and Terumo. Artivex competes with other thoracic extension products marketed by</w:t>
      </w:r>
    </w:p>
    <w:p>
      <w:pPr>
        <w:spacing w:after="0"/>
        <w:rPr>
          <w:sz w:val="20"/>
          <w:szCs w:val="20"/>
          <w:color w:val="auto"/>
        </w:rPr>
      </w:pPr>
      <w:r>
        <w:rPr>
          <w:rFonts w:ascii="Times New Roman" w:cs="Times New Roman" w:eastAsia="Times New Roman" w:hAnsi="Times New Roman"/>
          <w:sz w:val="18"/>
          <w:szCs w:val="18"/>
          <w:color w:val="auto"/>
        </w:rPr>
        <w:t>Medtronic, Gore, Terumo, and Cook</w:t>
      </w:r>
      <w:r>
        <w:rPr>
          <w:rFonts w:ascii="Times New Roman" w:cs="Times New Roman" w:eastAsia="Times New Roman" w:hAnsi="Times New Roman"/>
          <w:sz w:val="21"/>
          <w:szCs w:val="21"/>
          <w:color w:val="008080"/>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E-nside </w:t>
      </w:r>
      <w:r>
        <w:rPr>
          <w:rFonts w:ascii="Times New Roman" w:cs="Times New Roman" w:eastAsia="Times New Roman" w:hAnsi="Times New Roman"/>
          <w:sz w:val="23"/>
          <w:szCs w:val="23"/>
          <w:b w:val="1"/>
          <w:bCs w:val="1"/>
          <w:i w:val="1"/>
          <w:iCs w:val="1"/>
          <w:color w:val="auto"/>
          <w:vertAlign w:val="superscript"/>
        </w:rPr>
        <w:t>TM</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E-nside TAAA multibranch stent graft system is an off-the-shelf stent graft with pre-cannulated inner branches indicated for treatment of patients with thoraco-abdominal disease. The E-nside’s pre-cannulated inner branches are designed to reduce the overall procedure time which reduces the patient’s exposure to radiation. The vast majority of patients with thoraco-abdominal disease are treated with risky, invasive open surgical procedures, characterized by lengthy hospitalization periods and prolonged recuperation, or with custom-made stent grafts which can take up to 90 days to manufacture. We believe the addition of E-nside positions us well to capture share in the European aortic stent graft market because E-xtra Design Engineering provides patient-specific solutions, and E-nside provides an off-the-shelf solution. Further, there are synergies between E-nside and our portfolio of thoracic and abdominal stent grafts. E-nside competes with products from Cook.</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obtained a CE Mark for E-nside in the fourth quarter of 2019 and began limited selling of E-nside in the second quarter of 2020. We fully launched E-nside in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Abdominal and Peripheral Stents and Stent Grafts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E-tegra </w:t>
      </w:r>
      <w:r>
        <w:rPr>
          <w:rFonts w:ascii="Times New Roman" w:cs="Times New Roman" w:eastAsia="Times New Roman" w:hAnsi="Times New Roman"/>
          <w:sz w:val="23"/>
          <w:szCs w:val="23"/>
          <w:b w:val="1"/>
          <w:bCs w:val="1"/>
          <w:i w:val="1"/>
          <w:iCs w:val="1"/>
          <w:color w:val="auto"/>
          <w:vertAlign w:val="superscript"/>
        </w:rPr>
        <w:t>TM</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E-tegra is a AAA stent graft system with special stent design for secure sealing that makes difficult vascular anatomies treatable, thus expanding endovascular treatment options for infrarenal abdominal aortic aneurysms. The design of the E-tegra enables optimal fixation and sealing. It is a proximal laser cut stent with anchors for suprarenal stent graft fixation. Its asymmetric stent design and seamless cover ensure excellent adaptation to the vessel. The product also features a low-profile delivery system with its unique squeeze-to-release mechanism supporting the user by ensuring excellent control during each phase of the implantation. The E-tegra is often used in combination with E-xtra Design Engineering and the E-liac.</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hold a CE Mark for the E-tegra and additional marketing approvals have been granted in several other countries throughout the world. The E-tegra competes with products from several companies including Medtronic, Gore, Terumo, Endologix, and Cook.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E-ventus </w:t>
      </w:r>
      <w:r>
        <w:rPr>
          <w:rFonts w:ascii="Times New Roman" w:cs="Times New Roman" w:eastAsia="Times New Roman" w:hAnsi="Times New Roman"/>
          <w:sz w:val="23"/>
          <w:szCs w:val="23"/>
          <w:b w:val="1"/>
          <w:bCs w:val="1"/>
          <w:i w:val="1"/>
          <w:iCs w:val="1"/>
          <w:color w:val="auto"/>
          <w:vertAlign w:val="superscript"/>
        </w:rPr>
        <w:t>TM</w:t>
      </w:r>
      <w:r>
        <w:rPr>
          <w:rFonts w:ascii="Times New Roman" w:cs="Times New Roman" w:eastAsia="Times New Roman" w:hAnsi="Times New Roman"/>
          <w:sz w:val="18"/>
          <w:szCs w:val="18"/>
          <w:b w:val="1"/>
          <w:bCs w:val="1"/>
          <w:i w:val="1"/>
          <w:iCs w:val="1"/>
          <w:color w:val="auto"/>
        </w:rPr>
        <w:t xml:space="preserve"> BX</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E-ventus BX is a balloon-expandable peripheral stent graft indicated for the endovascular treatment of renal and pelvic arteries in cases of ruptures, dissections, and aneurysms. The E-ventus BX stent grafts have a combination of high flexibility together with high radial strength through the combination of the microporous single-layer ePTFE cover and the cobalt chromium stent. The E-ventus BX stent grafts feature minimal recoil and foreshortening and enables secure fixation and positioning in the vessel. The E-ventus BX delivery system has a highly flexible catheter that allows easy advancement in the vessel and enables lesions to be reliably reached by the catheter. Radiopaque markers on the delivery system enable secure and accurate positioning of the stent graft. The E-ventus BX is often used in conjunction with E-xtra Design Engineering products, E-nside stent grafts, and the E-liac stent graft.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E-ventus BX was manufactured by Bentley, who holds a CE Mark for that product and additional marketing approvals in several other countries throughout the world. The E-ventus BX competes with products from Maquet, Gore, BD, and Bentley InnoMed. We received the final production lots of E-ventus BX in May 2023 and we anticipate substantially depleting the remaining inventory through the first quarter of fiscal year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E-liac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E-liac is a stent graft used to treat aneurysmal iliac arteries as well as aneurysmal iliac side branches. The E-liac is a self-expanding stent graft characterized by easy and safe handling, which makes it possible to safely reach the lesion and accurately position the stent graft in the vessel. We estimate that 20% of patients who have an AAA also have an aneurysmal iliac artery, and as such, the E-liac is often used in conjunction with the E-tegra AAA device as well as one or two E-ventus BX devices.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hold a CE Mark for the E-liac and additional marketing approvals have been granted in several other countries throughout the world. The E-liac competes with products from Gore and Cook.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Synthetic Vascular Grafts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endovascular stent graft offerings, we have a broad line of synthetic vascular grafts that are used in open aortic and peripheral vascular surgical procedures. Our offerings include ePTFE grafts and both woven and knitted polyester grafts. Not only are we able to manufacture and sell a broad line of synthetic vascular graft offerings, but also, we are able to manufacture our own nitinol stents, given our expertise incorporating nitinol in our synthetic graft systems.</w:t>
      </w:r>
    </w:p>
    <w:p>
      <w:pPr>
        <w:spacing w:after="0" w:line="1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synthetic surgical vascular grafts have CE Marks and additional marketing approvals have been granted in several other countries throughout the world. Our synthetic grafts compete with products from Bard, a subsidiary of BD, Gore, LeMaitre, Terumo, and Maquet.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Surgical Sealants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Closing internal wounds effectively following surgical procedures is critical to the restoration of the function of tissue and to the ultimate success of the surgical procedure. Failure to seal surgical wounds effectively can result in leakage of blood in cardiac surgeries, air in lung surgeries, and cerebrospinal fluid in neurosurgeries potentially resulting in prolonged hospitalization, greater post-operative pain, higher costs, and higher mortality rates.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Sutures and staples facilitate healing by joining wound edges to allow the body to heal naturally. Sutures and staples, however, cannot consistently eliminate air and fluid leakage at the wound site, particularly when used to close tissues containing air or fluids under pressure, such as in blood vessels, the lobes of the lung, and the dural membrane surrounding the brain and spinal cord. In some cases, the tissues may be friable, which complicates surgical wound closure. In addition, it can be difficult and time consuming for the physician to apply sutures and staples in minimally invasive surgical procedures where the physician must operate through small access openings. We believe that the use of surgical adhesives and sealants, with or without sutures and staples, in certain areas can enhance the efficacy of these procedures through more effective and rapid wound closure.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proprietary BioGlue is a polymer consisting of bovine blood protein and an agent for cross-linking proteins, which was developed for use in cardiac, vascular, neurologic, and pulmonary procedures. BioGlue is stronger than other cardiovascular sealants with a tensile strength that is four to five times that of fibrin sealants. BioGlue begins to polymerize within 20 to 30 seconds, reaches its bonding strength within two minutes, and it adheres to tissues in a wet field. BioGlue is dispensed through a controlled delivery system that consists of a disposable syringe and various applicator tips. BioGlue syringes are available in pre-filled 2ml, 5ml, and 10ml volumes with applicator tips suitable for various applications.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BioGlue is FDA approved as an adjunct to sutures and staples for use in adult patients in open surgical repair of large vessels. We distribute BioGlue under CE Mark for repair of soft tissues (which include cardiac, vascular, and pulmonary). We also distribute BioGlue in Japan where it is approved for adhesion and support of hemostasis for aortotomy closure sites, suture/anastomosis sites (including aortic dissection and anastomosis sites with use of a prosthetic graft), and suture sites on the heart. Additional marketing approvals have been granted for specified applications in numerous other countries throughout the world.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BioGlue competes primarily with surgical sealants from Baxter, Ethicon, Grena Ltd, Integra LifeSciences, and Bard, a subsidiary of BD. BioGlue competes with these products based on its features and benefits, such as its strength and ease of use.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BioGlue throughout the world including North America, EMEA, APAC, and LATAM.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Preservation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Cardiac Preservation Services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proprietary preservation process involves our dissection, processing, preservation, and storage of donated human tissues until they are shipped to a hospital where they are implanted by physicians. The cardiac tissues we currently preserve include aortic and pulmonary heart valves and cardiac patches in three primary pulmonary anatomic configurations: hemi-artery, trunk, and branch. These tissues more closely resemble in structure, and simulate the performance of, the patient’s own tissue compared to non-human tissue alternatives. Our cardiac tissues are used in a variety of valve replacement and cardiac reconstruction surgeries. We believe the human tissues we distribute offer specific clinical advantages over mechanical, synthetic, and bioprosthetic alternatives. Depending on the alternative, the clinical advantages of our heart valves include more natural blood flow properties, better results in patients who have endocarditis, no requirement for long-term drug therapy to prevent excessive blood clotting, and a reduced risk of catastrophic failure, thromboembolism, stroke, or deterioration due to calcification.</w:t>
      </w:r>
    </w:p>
    <w:p>
      <w:pPr>
        <w:spacing w:after="0" w:line="14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Our cardiac tissues include the CryoValve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SG pulmonary heart valve (“CryoValve SGPV”) and the CryoPatch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SG pulmonary cardiac patch (“CryoPatch SG”) which are both processed with our proprietary SynerGraft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decellularization technology. A multi-center study showed that, at 10 years, freedom from conduit dysfunction was significantly better in patients receiving our proprietary SynerGraft SGPV valves (83%) compared with patients receiving standard allografts (58%).</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human heart valves preserved by us compare favorably with bioprosthetic and mechanical valves for certain indications and patient populations, and that the human cardiac patches preserved by us compare favorably with xenograft small intestine submucosa (“SIS”) and glutaraldehyde fixed bovine pericardial patches due to the benefits of human tissue discussed above. Human tissue is preferred by many physicians as the replacement alternative with respect to certain medical conditions, such as pediatric cardiac reconstruction, congenital cardiac defect repair, valve replacements for women in their child-bearing years, and valve replacements for patients with endocarditis. In addition, implantation of SynerGraft treated cardiac tissue reduces the risk for induction of Class I and Class II alloantibodies, based on Panel Reactive Antibody (“PRA”) measured at up to one year, compared to standard processed cardiac tissues. We believe that this reduced risk may provide a competitive advantage for CryoValve SGPV and CryoPatch SG for patients who later need a whole organ transplant, because an increased PRA can decrease the number of possible donors for subsequent organ transplants and increase time on transplant waiting lists.</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Two other domestic tissue processors, LifeNet Health (“LifeNet”) and LeMaitre Vascular (“LeMaitre”), offer preserved human heart valves and patches in competition with us. We believe that we compete favorably on the basis of surgeon preference, documented clinical data, technology, and customer service, particularly with respect to the capabilities of our field representatives. Alternatives to human heart valves processed by us include valve repair and valve replacement with bioprosthetic valves or mechanical valves. We compete with bioprosthetic or mechanical valves from companies including Medtronic, Edwards Lifesciences, Corcym, and Abbott Laboratories. Alternatives to our human cardiac patches include xenograft SIS and glutaraldehyde fixed bovine pericardial patches. We compete with these xenograft products from companies including Edwards Lifesciences, Anteris Technologies, Abbott Laboratories, and Baxter.</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ship human cardiac tissues to implanting institutions throughout the US. Our CryoValve SGPV and CryoPatch SG are distributed under 510(k) clearance from the FDA. We also ship limited tissues in Canada and other countries under special access programs.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Vascular Preservation Services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proprietary preservation process involves our dissection, processing, preservation, and storage of donated human tissues until they are shipped to a hospital for implantation by a physician. The vascular tissues currently preserved by us include saphenous veins, aortoiliac arteries, and femoral veins and arteries. Each of these tissues maintains a structure which more closely resembles and simulates the performance of the patient’s own tissue compared to non-human tissue alternatives. Our vascular tissues are used to treat a variety of vascular reconstructions, such as peripheral bypass, hemodialysis access, and aortic infections, which have saved the lives and limbs of patients. We believe the human tissues we distribute offer specific advantages over synthetic and bioprosthesis alternatives, particularly for the treatment of infection in hemodialysis and peripheral bypass patients. Human tissue is not as susceptible to infection as synthetic alternatives and more closely simulates the performance of the patient’s own tissue and vasculature compared to non-human tissue alternatives.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other domestic tissue processors, LifeNet and LeMaitre, offer preserved vascular tissue in competition with us. There are also a number of providers of synthetic and bioprosthetic alternatives to vascular tissues preserved by us and those alternatives are available primarily in medium and large diameters. Our vascular tissues compete with products from Gore, BD, LeMaitre, and Maquet.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we compete favorably with other entities that preserve human vascular tissues on the basis of surgeon preference, documented clinical data, technology, and customer service, particularly with respect to the capabilities of our field representatives.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PhotoFix</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PhotoFix is a bovine pericardial patch fixated using a dye-mediated photo-oxidation process without the use of glutaraldehyde. We hold FDA 510(k) clearance and previously held a CE Mark for PhotoFix which is indicated for use in intracardiac repair, great vessel repair, suture line buttressing, pericardial closure, and vascular repair and reconstruction (for example: the carotid, iliac, femoral, and tibial blood vessels as well as arteriovenous access revisions). We are currently transitioning our PhotoFix CE Mark to our new Notified Body, DEKRA. See Part I, Item 1A, “Risk Factors—Industry Risks— Our products and tissues are highly regulated and subject to significant quality and regulatory risks,” for a discussion of the risks related to our PhotoFix CE Mark.</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PhotoFix product line competes with bioprosthetic and synthetic cardiac and vascular patch offerings from several other companies, including Baxter, LeMaitre, and Abbott Laboratories, based on PhotoFix’s features and benefits, such as the photo-oxidation cross-linking process that does not use glutaraldehyde.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sell PhotoFix in North America, EMEA, and APAC.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CardioGenesis Cardiac Laser Therapy for Angina Treatment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CardioGenesis cardiac laser therapy product line is FDA approved for treating patients with severe angina that are not responsive to conventional therapy. We began selling the CardioGenesis cardiac laser therapy product line in the US in May 2011 when we completed the acquisition of CardioGenesis Corporation. Due to supply-related factors outside of our control, we abandoned the business as of June 2023. See Part II, Item 7 - “Management’s Discussion and Analysis of Financial Condition and Results of Operations” for further information on the CardioGenesis cardiac laser therapy business abandonment.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PerClot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PerClot is an absorbable powdered hemostat, consisting of plant starch modified into ultra-hydrophilic, adhesive-forming hemostatic polymers. PerClot granules are biocompatible, absorbable polysaccharides containing no animal or human components. PerClot granules have a molecular structure that rapidly absorbs water, forming a gelled adhesive matrix that provides a mechanical barrier to any further bleeding and results in the accumulation of platelets, red blood cells, and coagulation proteins (thrombin, fibrinogen, etc.) at the site of application. PerClot does not require additional operating room preparation or special storage conditions and is easy to apply. PerClot is readily dissolved by saline irrigation and is totally absorbed by the body within several days.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2010 we entered into a distribution agreement and a license and manufacturing agreement with Starch Medical, Inc. (“SMI”), which allowed us to distribute PerClot, worldwide, except a few countries. In July 2021 we entered into an asset purchase agreement and other ancillary agreements related to the sale of PerClot to a subsidiary of Baxter and an agreement to terminate all of our material agreements with SMI related to PerClot (collectively the “Baxter Transaction”). Under the terms of the Baxter Transaction, we will continue to provide to Baxter certain transition, manufacturing, and supply services relating to the sale of SMI PerClot outside of the US and manufacture and supply of PerClot to Baxter in the US.</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May 2023 we obtained FDA PMA approval to commercialize PerClot in the US, which we transferred to Baxter, and began manufacturing and supplying PerClot for Baxter, as discussed further in “Research and Development and Clinical Research”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Distribution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US and Canada, we market our products and preservation services primarily to physicians and sell our products through our approximately 50-person direct sales team to hospitals and other healthcare facilities. We also have a team of regional managers, national accounts managers, and sales and marketing management. Through our field representatives and our physician relations and education department, we conduct field training for surgeons regarding the surgical applications of our products and tissues.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EMEA, we market our products through our European headquarters, based in Hechingen, Germany, as well as through several other subsidiaries based throughout Europe. We employ approximately 100 direct field service representatives and distributor managers across several countries in the EMEA region. We provide customer service, logistics, marketing, and clinical support to cardiac, vascular, thoracic, and general surgeons throughout the EMEA region.</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APAC and LATAM, we commercialize our products through our independent distributors and our subsidiaries through approximately 40 sales and clinical support specialists.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physician relations and education staff, clinical research staff, and field representatives assist physicians by providing educational materials, seminars, and clinics on methods for using our products and implanting tissue preserved by us, including virtual and remote programs. We sponsor programs, and work with other companies such as Endospan to sponsor programs, where surgeons train other surgeons in best-practice techniques. In addition, we host several workshops throughout the year that provide didactic and hands-on training to surgeons. We also produce educational videos for physicians and coordinate peer-to-peer training at various medical institutions. We believe that these activities enhance the medical community’s understanding of the clinical benefits of the products and tissues offered by us and help to differentiate us from other medical device companies and tissue processors.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human tissues are obtained in the US through organ and tissue procurement organizations (“OPOs”) and tissue banks. To assist OPOs and tissue banks, we provide educational materials and training on procurement, dissection, packaging, and shipping techniques. We produce educational videos and coordinate laboratory sessions for OPO and tissue bank personnel to improve their recovery techniques and increase the yield of usable tissue. We also maintain staff 24 hours per day, 365 days per year, for OPO and tissue bank support.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Sources, and Availability of Raw Materials and Tissues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obtain a number of our raw materials and supplies from a global supply base. The materials and supplies used in our product manufacturing and tissue processing are subject to regulatory requirements and oversight. If materials or supplies used in our manufacturing or tissue processing fail to meet these requirements or are subject to regulatory enforcement action, they may have to be scrapped, or our products or tissues could be rejected during or after processing, recalled, or rejected by customers. In these cases, we may have to immediately scrap raw or in-process materials and expense the costs of manufacturing or preservation.</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these materials or supplies, or changes to them, do not receive regulatory approval or are recalled, if the related suppliers and/or their facilities are shut down temporarily or permanently, for any reason, or if the related suppliers are otherwise unable or unwilling to supply us, we may not have sufficient materials or supplies to manufacture our products or process tissues. In addition, we rely on contract manufacturers to manufacture some of our products or to provide additional manufacturing capacity for some products. If these contract manufacturers fail to meet our quality standards or other requirements or if they are unable or unwilling to supply these products, we may not be able to meet demand for these products. Our ability to fully recover all possible losses from these suppliers and contract manufacturers may have practical limitations imposed by factors like industry standard contractual terms or the financial resources of the adverse party.</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materials, supplies, and services used in our product manufacturing and tissue processing, as well as some of our products, are sourced from single- or sole-source suppliers. As a result, our ability to negotiate favorable terms with those suppliers may be limited, and if those suppliers experience operational, financial, quality, or regulatory difficulties, or if those suppliers and/or their facilities refuse to supply us or cease operations temporarily or permanently, or if those suppliers take unreasonable business positions, we could be forced to cease product manufacturing or tissue processing until the suppliers resume operations, until alternative suppliers could be identified and qualified, or permanently if the suppliers do not resume operations and no alternative suppliers could be identified and qualified. We could also be forced to purchase alternative materials, supplies, or services with unfavorable terms due to diminished bargaining power. Ongoing sustaining efforts are in process to find alternative suppliers for single- or sole-source raw materials, supplies, and services wherever feasible. The process of qualifying alternative suppliers and manufacturers could result in additional costs or lengthy delays or may not be possible.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the global COVID-19 pandemic, the wars in Ukraine and in the Gaza Strip and around Israel, and other macroeconomic factors are impacting the global supply chain; their impact on workforces, global mobility, material availability, demand, shipping, reorder time, and reliability has reportedly continued or worsened in many cases. Any of these adverse outcomes could have a material, adverse effect on our revenues or profitability.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established operating mechanisms in place to manage this increased risk and we will continue to adjust as necessary into the future. See also Part I, Item 1A, “Risk Factors – Operational Risks” for our disclosures of risks related to suppliers, sources, and availability of raw materials and tissues.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Manufacturing, and Tissue Preservation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our internal manufacturing operations at three facilities: Austin, Texas for On-X products, Hechingen, Germany for internally manufactured aortic stent grafts, and Kennesaw, Georgia for most other products and services. Certain aortic stent graft assemblies are manufactured for us by a contract manufacturer in Slovakia. The AMDS product is solely manufactured by a supplier in Charlotte, North Carolina, and the NEXUS Products are solely manufactured by Endospan in Herzliya, Israel.</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 Item 1A, “Risk Factors—Business and Economic Risks—We are subject to a variety of risks due to our international operations and continued global expansion,” for a discussion of risks related to our global footprint.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facility—which contains our corporate headquarters, manufacturing, and laboratory space—and an additional off-site warehouse, in Kennesaw, Georgia. We manufacture BioGlue, PhotoFix, and PerClot and process human tissues at this facility.</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On-X facility consists of combined manufacturing, warehouse, and office space in Austin, Texas, where our On-X products, including On-X heart valves and AAPs, are manufactured.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aortic stent graft facility consists of combined manufacturing, warehousing, and office space in Hechingen, Germany and is our EMEA headquarters.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maintain sales offices, some of which have distribution operations, in Brazil, Greece, Italy, Poland, Singapore, Spain, Switzerland, and the UK. See also Part I, Item 2, “Properties.”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all of our facilities, we are subject to regulatory standards for good manufacturing practices, including current Quality System Regulations, which are the FDA regulatory requirements for medical device manufacturers, and current Good Tissue Practices (“cGTPs”), which are the FDA regulatory requirements for the processing of human tissue. We also operate according to International Organization for Standardization (“ISO”) 13485 Quality System Requirements, an internationally recognized voluntary system of quality management for companies that design, develop, manufacture, distribute, and service medical devices. We maintain a Certification of Approval to ISO 13485.</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employ a comprehensive quality assurance program in our product manufacturing and tissue preservation activities. Raw materials, solutions, and other components utilized in our manufacturing and tissue processing operations as well as certain subassemblies and finished goods manufactured by third parties are received and inspected by trained quality control personnel according to written specifications and standard operating procedures. Those items found to comply with our standards are utilized in our operations. Raw materials, solution, components, subassemblies, and tissues are documented throughout manufacturing or processing to ensure traceability.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 and inspect both our manufactured and distributed products to ensure conformity to product specifications. Processes are validated to review whether products manufactured meet our specifications. Each process is documented along with inspection results, including final finished product inspection and acceptance. Records are maintained as to the consignees of products to track product performance and to facilitate product removals or corrections, if necessary.</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controls over our tissue processing to ensure conformity with our procedures. OPOs and tissue banks must follow our procedures related to tissue recovery practices and are subject to periodic audits to confirm compliance. Samples are taken from donated tissue for microbiological testing, and tissue must be shown to be free of certain detectable microbial contaminants before being released for distribution. Tissue processing records and donor information are reviewed to identify characteristics that would disqualify the tissue for processing or implantation. Once tissue is released for distribution, it is moved from quarantine to an implantable status. Tissue is stored by us until it is shipped to a hospital, where the tissue is thawed and implanted immediately or held in a liquid nitrogen freezer pending implantation.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did not have a significant backlog of orders related to our medical devices. The limited supply of certain types or sizes of preserved tissue can result in a backlog of orders for these tissues. The amount of backlog fluctuates based on the tissues available for shipment and the surgical needs of specific cases. Our backlog of human tissue consists mostly of pediatric tissues that have limited availability. Our backlog is generally not considered firm and must be confirmed with the customer before shipment. Certain aortic stent grafts products are specifically designed to meet specifications of a particular patient which can result in a limited backlog of these products.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Medical devices and human tissues are subject to a number of regulations from various government bodies including US federal, state, and local governments, as well as various international governments and regulatory bodies. Government regulations are continually evolving, and requirements may change with or without notice. Changes in government regulations or changes in the enforcement of existing government regulations could have a material, adverse impact on us. See also Part I, Item 1A, “Risk Factors” for a discussion of risks related to government regulations.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Regulation of Medical Devices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Federal Food, Drug, and Cosmetic Act (“FDCA”) provides that, unless exempted by regulation, medical devices may not be distributed in the US unless they have been approved or cleared by the FDA. Medical devices may receive clearance through either a pre-market notification (also known as the 510(k) process) or a PMA. Prior to approval, investigational device exemptions (“IDE”) allow investigational devices to be used in clinical studies in order to collect safety and effectiveness data.</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a 510(k) process, a medical device manufacturer provides the FDA with premarket notification that it intends to begin commercializing a product and demonstrates to the FDA that the product is substantially equivalent to another legally marketed predicate device. To be found substantially equivalent to a predicate device, the device must be for the same intended use and have either the same technological characteristics as the predicate or different technological characteristics that do not raise different questions of safety or effectiveness. In some cases, the submission must include data from clinical studies in order to demonstrate substantial equivalency to a predicate device. Commercialization may commence when the FDA issues a clearance letter finding such substantial equivalence.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FDA regulations require approval through the IDE/PMA process for all Class III medical devices and for medical devices not deemed substantially equivalent to a predicate device. An IDE authorizes distribution of devices that lack PMA or 510(k) clearance for clinical evaluation purposes. After a product is subjected to clinical testing under an IDE, we may file a PMA application. Once a PMA application has been submitted, the FDA’s review may be lengthy and may include requests for additional data, which may require us to undertake additional human clinical studies. Commercialization of the device may begin when the FDA approves the PMA.</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FDCA requires all medical device manufacturers and distributors to register with the FDA annually and to provide the FDA with a list of those medical devices they distribute commercially. The FDCA also requires manufacturers of medical devices to comply with labeling requirements and to manufacture devices in accordance with Quality System Regulations, which require that companies manufacture their products and maintain their documents in compliance with good manufacturing practices, including design, document production, process, labeling and packaging controls, process validation, and other applicable quality control activities. The FDA’s medical device reporting regulation requires that a device manufacturer provide information to the FDA on death or serious injuries alleged to have been associated with the use of its products, as well as product malfunctions that would likely cause or contribute to death or serious injury if the malfunction were to recur. The FDA further requires that certain medical devices that may not be sold in the US follow certain procedures before they are exported. The FDA periodically inspects our facilities to review our compliance with these and other regulations and has authority to seize non-complying medical devices, enjoin and/or impose civil penalties on manufacturers and distributors marketing non-complying medical devices, criminally prosecute violators, and order recalls in certain instances.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products are, or we believe would be, upon approval, classified as Class III medical devices: BioGlue, On-X heart valves, On-X AAP, PerClot, E-vita Open Plus, E-vita Open NEO, E-vita Thoracic 3G, E-tegra, E-liac, E-nside, the NEXUS Products, and AMDS. CryoPatch SG is classified as a Class II medical device. We obtained 510(k) clearance from the FDA to commercialize the CryoValve SGPV; however, these tissues are not officially classified as Class II or III medical devices.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Beginning in December 2019 and most recently in the fall 2023, the FDA indicted that it was planning to issue a proposed rule for reclassification of more than minimally manipulated (“MMM”) allograft heart valves, which could include our CryoValve SGPV, from unclassified medical devices reviewed through the 510(k) process to Class III (PMA) medical devices. Following any comment period and subsequent publication of a final rule, should the CryoValve SGPV be determined to be MMM or classified as a Class III device, we currently expect to have approximately thirty months to submit a PMA application, after which the FDA will determine if, and for how long, we may continue to provide these tissues to customers during its review of the PMA application. Although this proposed rule change has, to our knowledge, remained on the HHS's unified regulatory agenda since 2019, no final rule has been published at this time. See also Part I, Item 1A, “Risk Factors—Industry Risks— Reclassification by the FDA of CryoValve SGPV may make it commercially infeasible to continue processing the CryoValve SGPV.”</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Federal Regulation of Human Tissue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human tissues pursuant to Section 361 of the Public Health Services Act, which in turn provides the regulatory framework for regulation of human cellular and tissue products. The FDA regulations focus on donor screening and testing to prevent the introduction, transmission, and spread of HIV-1 and -2, Hepatitis B and C, and other communicable diseases and disease agents. The regulations set minimum requirements to prevent the transmission of communicable diseases from human tissue used for transplantation. The regulations define human tissue as any tissue derived from a human body which is (i) intended for administration to another human for the diagnosis, cure, mitigation, treatment, or prevention of any condition or disease and (ii) recovered, preserved, stored, or distributed by methods not intended to change tissue function or characteristics. The FDA definition excludes, among other things, tissue that currently is regulated as a human drug, biological product, or medical device, and it also excludes kidney, liver, heart, lung, pancreas, or any other vascularized human organ. The current regulations applicable to human tissues include requirements for donor suitability, processing standards, establishment registration, product listing, testing, and screening for risks of communicable diseases. The FDA periodically audits our tissue preservation facilities for compliance with its requirements and has the authority to enjoin the distribution, force a recall, or require the destruction of tissues that do not meet its requirements.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NOTA Regulation</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activities in preserving and transporting human hearts and certain other organs are also subject to federal regulation under the National Organ Transplant Act (“NOTA”), which makes it unlawful for any person to knowingly acquire, receive, or otherwise transfer any human organ for valuable consideration for use in human transplantation if the transfer affects interstate commerce. NOTA excludes from the definition of “valuable consideration” reasonable payments associated with the removal, transportation, implantation, processing, preservation, quality control, and storage of a human organ. The purpose of this statutory provision is to allow for compensation for legitimate services. We believe that, to the extent our activities are subject to NOTA, we meet this statutory provision relating to the reasonableness of our charges.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Requirements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states have enacted statutes and regulations governing the manufacture, sale, marketing, or distribution of medical devices, and we believe we are in compliance with such applicable state laws and regulations.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states have enacted statutes and regulations governing the preservation, transportation, and storage of human organs and tissues. The activities we engage in require us to be either licensed or registered as a clinical laboratory or tissue bank under California, Delaware, Florida, Georgia, Illinois, Maryland, New York, and Oregon law. We have such licenses or registrations, and we believe we are in compliance with applicable state laws and regulations relating to clinical laboratories and tissue banks that store, preserve, and distribute donated human tissue designed to be used for medical purposes in human beings.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our employees have obtained other required state licenses. The regulatory bodies of states may perform inspections of our facilities as required to ensure compliance with state laws and regulations.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Approval Requirements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medical devices and shipments of human tissues outside the US are subject to international regulatory requirements that vary widely from country to country. Approval of a product by comparable regulatory authorities of other countries must be obtained and compliance with applicable regulations for tissues must be met prior to commercial distribution of the products or human tissues in those countries. The time required to obtain these approvals may be longer or shorter than that required for FDA approval. Countries in which we distribute products and tissue may perform inspections of our facilities to ensure compliance with local country regulations.</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European Economic Area (“EEA”) recognizes a single medical device approval (the CE Mark) which allows for distribution of an approved product throughout the EEA without additional general applications in each country. Individual EEA members, however, reserve the right to require additional labeling or information to address particular patient safety issues prior to allowing marketing. Third parties called “Notified Bodies” award the CE Mark. These Notified Bodies are approved and subject to review by the “Competent Authorities” of their respective countries. Our Notified Bodies perform periodic on-site inspections to independently review our compliance with systems and regulatory requirements. A number of countries outside of the EEA accept the CE Mark in lieu of marketing submissions as an addendum to that country’s application process. We have CE Marks for On-X heart valves, On-X AAP, E-vita Open Plus, E-vita Open NEO, E-tegra, E-liac, E-nside, AMDS, and other devices. In addition, E-ventus BX and NEXUS, which we distribute, have CE Marks.</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Medical Device Directive (“MDD”) was the governing document for the EEA that detailed requirements for safety and risk of devices. The Medical Device Regulation (“MDR”) replaced MDD on May 26, 2021 and places stricter requirements on manufacturers and the European Notified Bodies who have been designated by the various European Union Member States to perform assessments of compliance to the MDD and MDR. We work with a number of notified bodies and the transition from the MDD to the MDR is ongoing.</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result of the UK’s exit from the European Union, or “Brexit,” the UK Medicines and Healthcare Products Regulatory Agency (“MHRA”) has announced in the third quarter of 2023 that the UK government (MHRA) extended the acceptance of CE marked medical devices beyond the original date of June 2023. CE Marking will continue to be recognized in the UK and certificates issued by EU-recognized Notified Bodies (with a valid declaration and CE marking under MDD) will continue to be valid in the UK market until June 30, 2028. General medical devices and custom-made devices under MDR compliance can be placed on the UK market until June 30, 2030. As of September 2023 the Swiss government (Swissmedic) declared Class III and IIb devices with a valid CE Mark issued under the MDD can remain on the Swiss market until December 31, 2027 so long as the manufacturer maintains a QMS in compliance with EU MDR and has a formal application with a notified body for an MDR CE Mark by May 26, 2024. See Part I, Item 1A, “Risk Factors—Industry Risks—Our products and tissues are highly regulated and subject to significant quality and regulatory risks,” for a discussion of risks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transition to MDR</w:t>
      </w:r>
      <w:r>
        <w:rPr>
          <w:rFonts w:ascii="Times New Roman" w:cs="Times New Roman" w:eastAsia="Times New Roman" w:hAnsi="Times New Roman"/>
          <w:sz w:val="21"/>
          <w:szCs w:val="21"/>
          <w:color w:val="008080"/>
        </w:rPr>
        <w:t>.</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13, 2019 one of our notified bodies, Lloyd's Register Quality Assurance Limited (“LRQA”) informed us that it would no longer provide Notified Body services for medical devices effective September 2019. The governing German competent authority, the Regierungspräsidium Tübingen, granted us an extended grace period until December 31, 2021 to transfer LRQA-issued certifications for BioGlue and PhotoFix to a new Notified Body. Although our BioGlue CE Mark has been successfully transferred to our new Notified Body, we are still in the process of transferring PhotoFix to DEKRA. While progress has been made, failure to timely complete the transfer or any other delays in the MDR transition, may have a material, adverse effect on our ability to supply PhotoFix in affected jurisdictions and have a material, adverse impact on our business. See also Part I, Item 1A, “Risk Factors—Industry Risks— Our products and tissues are highly regulated and subject to significant quality and regulatory risks,” for a discussion of the risks related to LRQA’s decision, the MDR transition, and Brexit.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tissue preservation activities generate some biomedical wastes, consisting primarily of human and animal pathological and biological wastes, including human and animal tissue and body fluids removed during laboratory procedures. The biomedical wastes generated by us are placed in appropriately constructed and labeled containers and are segregated from other wastes generated by us. We contract with third parties for transport, treatment, and disposal of biomedical waste.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of our products, including certain On-X products, are sterilized using ethylene oxide (“EtO”). Although we have a small-scale EtO facility in Austin, Texas, we rely primarily on large-scale EtO facilities to sterilize our products. In addition, some of our suppliers use, or rely upon third parties to use, EtO to sterilize some of our product components. Concerns about the release of EtO into the environment at unsafe levels have led to various regulatory enforcement activities and legal actions against EtO facilities, resulting in closures and temporary closures, as well as proposals increasing regulations related to EtO. Although we believe we are in compliance with applicable laws and regulations, regarding the disposal of our waste resulting from tissue preservation activities, as well as in our other production and sterilization activities, the failure by us, or the companies with which we contract, to comply fully with any such regulations could result in an imposition of penalties, fines, or sanctions, which could materially, adversely affect our business. See also, Part I, Item 1A, “Risk Factors—Industry Risks—Regulatory enforcement activities or private litigation regarding the use of ethylene oxide (“EtO”), which is used to sterilize some of our products and components, could have a material, adverse impact on us,” for additional discussion of risks related to our use of EtO sterilization. We do not currently anticipate any material capital expenditures required for compliance with these laws and regulations relating to our waste disposal and sterilization activities.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and Clinical Research</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our technical and scientific expertise to identify market opportunities for new products and services, and to expand the use of our current products and services through expanded indications and product and tissue enhancements. Our research and development strategy is to allocate most of our available resources among our core market areas based on the potential market size, estimated development time and cost, and the expected efficacy for any potential product or service offering. To the extent we identify new non-core products or additional non-core applications for our core products, we may attempt to license these products to corporate partners for further development or seek funding from outside sources to continue commercial development. We may also attempt to acquire or license additional strategically complementary products or technologies from third-parties to supplement our product lines.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on these and other projects is conducted in our research and development department and at universities and clinics where we sponsor research projects. We also conduct preclinical and clinical studies at universities, medical centers, hospitals, and other third-party locations under contract with us. Research is inherently risky, and any potential products or services under development ultimately may not be deemed safe or effective or worth commercializing for other reasons and, therefore, may not generate a return on investment for us. Our clinical research department also collects and maintains clinical data on the use and effectiveness of our products and services. We use this data to gain regulatory approvals to market the products and services, to inform third parties on the benefits of our products and services, and to help direct our continuing improvement efforts.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2022, and 2021 we spent approximately $28.7 million, $38.9 million, and $35.5 million, respectively, on research and development activities on new and existing products. These amounts accounted for approximately 8%, 12%, and 12% of our revenues for each of 2023, 2022, and 2021, respectively.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process of developing and investigating several new products and technologies, as well as changes and enhancements to our existing products and services. Our strategies for driving growth include new product approvals and indications, global expansion, and business development. These activities will likely require additional research, new clinical studies, and/or compilation of clinical data.</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currently seeking regulatory approval for BioGlue in China. Enrollment was completed in the third quarter of 2018 and the submission for market approval was filed in March 2019 with Chinese regulatory authorities who have made additional requests, and expressed several concerns, related to the application. If we cannot satisfy the regulator’s requests and concerns and obtain approval in 2024, the pending application will expire and no longer be eligible for allowance, requiring the Company to restart or decide to abandon the approval process.</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the FDA’s request, we are conducting a post-approval study to collect long-term clinical data for the On-X aortic heart valve managed with reduced warfarin therapy. This study is ongoing and data collection is expected to continue through 2027.</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completed our pivotal clinical trial to gain approval to commercialize PerClot for surgical indications in the US. Enrollment was completed in January 2019 and, in conjunction with Baxter, we obtained approval for a PMA from the FDA in May 2023.</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granted Breakthrough Device Designation in the third quarter of 2019 for the AMDS hybrid prosthesis. The Breakthrough Device Designation program is designed to provide timely access to medical devices that potentially provide a more effective treatment for life-threatening conditions by prioritizing review of its regulatory submissions, thereby expediting the device development process. We are conducting a pivotal clinical trial (PERSEVERE) to gain approval to commercialize the AMDS hybrid prosthesis in the US for treatment of acute DeBakey type I aortic dissections. We received IDE approval in the fourth quarter of 2021 and completed enrollment of the required patients in the fourth quarter of 2023.</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granted Breakthrough Device Designation in the first quarter of 2020 for Arcevo LSA, and in the second quarter of 2020 for E-vita Open NEO, representing our next-generation hybrid stent graft system used in the treatment of patients with either an aneurysm or dissection in the aortic arch and in the descending thoracic aorta. The FDA granted Breakthrough Device Designation in the third quarter of 2019 for the E-nside and E-xtra Design Multibranch TAAA devices.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Licenses, and Other Proprietary Rights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patents, trademarks, confidentiality agreements, and security procedures to protect our proprietary products, preservation technology, trade secrets, and know-how. We believe that our patents, trade secrets, trademarks, and licensing rights provide us with important competitive advantages. We currently own rights to numerous US and foreign patents and pending patent applications relating to our technology for various product lines. There can be no assurance that any pending applications will ultimately be issued as patents. We have also obtained rights through license and distribution agreements for additional products and technologies, including the NEXUS Products. In the aggregate, these intellectual property assets and licenses are of material importance to our businesses; however, with the exception of BioGlue as discussed below, we believe that no single intellectual property asset or license is material in relation to any segment of our business or to our business as a whole.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main patent for BioGlue expired in mid-2012 in the US and expired in mid-2013 in the majority of the rest of the world. Although the patents for BioGlue have expired, this technology is still protected by trade secrets and manufacturing know-how, as well as the time and expense to obtain regulatory approvals.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confidentiality agreements with our employees, our consultants, and our third-party vendors to maintain the confidentiality of trade secrets and proprietary information. There can be no assurance that the obligations of our employees, consultants, and third parties with whom we have entered into confidentiality agreements, will effectively prevent disclosure of our confidential information or provide meaningful protection for our confidential information if there is unauthorized use or disclosure, or that our trade secrets or proprietary information will not be independently developed by our competitors.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Part I, Item 1A, “Risk Factors—Legal, Quality, and Regulatory Risks—Some of our products and technologies are subject to significant intellectual property risks and uncertainty,” for a discussion of risks related to our patents, licenses, and other proprietary rights.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 Item 7, “Management’s Discussion and Analysis of Financial Condition and Results of Operations—Seasonality,” regarding seasonality of our products and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of December 31, 2023 we had approximately 1,500 employees. Most of our employees are located in Kennesaw, Georgia; Austin, Texas; and Hechingen, Germany. We have never experienced a work stoppage or interruption due to labor disputes. Our employees located in Hechingen, Germany have a Works Council, and our employees in Brazil are affiliated with a union in connection with compensation-related collective bargaining. We believe our relations with our employees worldwide and with the Works Council in Germany and union in Brazil are good.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Talent and Retention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and future operating results depend in significant part upon the continued contributions of our key personnel, including qualified personnel with medical device and tissue processing experience, and senior management with experience in the medical device or tissue processing space, many of whom would be difficult to replace. Our business and future operating results, including production at our manufacturing and tissue processing facilities, also depend in significant part on our ability to attract and retain qualified management, operations, processing, marketing, sales, and support personnel for our operations.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main facilities are in Kennesaw, Georgia; Austin, Texas; and Hechingen, Germany, where the local supply of qualified personnel in the medical device and tissue processing industries is limited and competition for such personnel is intense and has become increasingly more so in recent years. We have programs and processes in place to help ensure that our compensation, benefits programs, and work environment attract and retain such personnel, and we strive to enhance those programs and processes to respond to the increasingly competitive market for talent. We also strive to offer competitive equitable pay, comprehensive benefits, and services that retain and meet the varying needs of our employees. The principal purposes of our equity and cash incentive plans and non-officer incentive plans are to attract, retain, motivate, and reward our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Fostering and maintaining a strong and collaborative culture is a key strategic focus, as evidenced by our core values of collaboration, results driven, and customer focus. We also have ethics and compliance policies that instill a commitment to ethical behavior and legal compliance across our Company. Employees are encouraged to approach their supervisors if they believe violations of policies have occurred. Employees are also able to confidentially and anonymously report any such violations through an online form or telephone hotline hosted by a third-party provider.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a culture of diversity and inclusion enables us to create, develop, and fully leverage the strengths of our workforce to achieve our business objectives. Approximately 61% of our global employees are female, and approximately 36% of our US based employees are from an underrepresented ethnic or racial community. The Company strives to provide equal opportunity to all applicants and employees, including those from diverse backgrounds.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bringing together different perspectives and experiences is fundamental to innovation. In early 2022 we appointed a Chief Diversity Officer to manage and oversee the Company’s diversity and inclusion efforts and goals.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internal training and development programs to employees globally. Such programs include leadership development, office safety, ethics, and various skill-based training programs.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Protecting the health, safety, and well-being of our employees around the world is a priority. Throughout the COVID-19 pandemic, we enhanced our focus on the health and safety of our employees by implementing and enforcing certain COVID-related safety protocols. We provided employees with protective equipment, required the wearing of masks, increased cleaning procedures, provided cleaning supplies, implemented remote work where possible, enhanced our IT systems to facilitate remote work, and improved our cybersecurity protocols. While a number of these protocols were lessened or eliminated upon the waning of the COVID-19 pandemic, we continue to look for opportunities to provide a safer, healthier, work environment for our employees.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Engagement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solicit employee feedback to assess employee satisfaction and engagement and to identify opportunities for development. Employee feedback is also gathered through onboarding surveys, the employee review process, spot surveys, and exit surveys.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is subject to a number of risks. See Part I, Item 1A, “Risk Factors” below for a discussion of these and other risk factors.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It is our policy to make all our filings with the Securities and Exchange Commission, including, without limitation, our annual report on Form 10-K, quarterly reports on Form 10-Q, current reports on Form 8-K, and all amendments to those reports filed or furnished pursuant to Section 13(a) or 15(d) of the Securities Exchange Act of 1934, available free of charge on our website, </w:t>
      </w:r>
      <w:r>
        <w:rPr>
          <w:rFonts w:ascii="Times New Roman" w:cs="Times New Roman" w:eastAsia="Times New Roman" w:hAnsi="Times New Roman"/>
          <w:sz w:val="18"/>
          <w:szCs w:val="18"/>
          <w:i w:val="1"/>
          <w:iCs w:val="1"/>
          <w:color w:val="auto"/>
        </w:rPr>
        <w:t>www.Artivion.com</w:t>
      </w:r>
      <w:r>
        <w:rPr>
          <w:rFonts w:ascii="Times New Roman" w:cs="Times New Roman" w:eastAsia="Times New Roman" w:hAnsi="Times New Roman"/>
          <w:sz w:val="18"/>
          <w:szCs w:val="18"/>
          <w:color w:val="auto"/>
        </w:rPr>
        <w:t>, on the day of filing. All such filings made on or after November 15, 2002 have been made available on our website.</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make available on the Corporate Governance portion of our website: (i) our Code of Conduct; (ii) our Corporate Governance Guidelines; (iii) the charter of each active committee of our Board of Directors; (iv) our Code of Ethics for Senior Financial Officers; (v) our Insider Trading Policy; (vi) our Corporate Responsibility Report (ESG); and (vii) our Foreign Corrupt Practices Act (“FCPA”) Policy. We also intend to disclose any amendments to our Codes of Conduct, or waivers of our Codes of Conduct on behalf of our Chief Executive Officer, Chief Financial Officer, or Chief Accounting Officer, on the Corporate Governance portion of our website. All of these corporate governance materials are also available free of charge in print to shareholders who request them in writing to: Jean F. Holloway, General Counsel, Chief Compliance Officer, and Corporate Secretary, 1655 Roberts Blvd NW, Kennesaw, GA 30144.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a variety of risks and uncertainties, known and unknown, including, among others, the risks discussed below. These risks should be carefully considered together with the other information provided in this Annual Report on Form 10-K and in our other filings with the SEC. Our failure to adequately anticipate or address these risks and uncertainties may have a material, adverse impact on our business, reputation, revenues, financial condition, profitability, and cash flows. Additional risks and uncertainties not presently known or knowable to us, or that we currently believe to be immaterial, may also adversely affect our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Business and Economic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 variety of risks due to our international operations and continued global expansion.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international operations subject us to a number of risks, which may vary significantly from the risks we face in our US operations, including:</w:t>
      </w:r>
    </w:p>
    <w:p>
      <w:pPr>
        <w:spacing w:after="0" w:line="252" w:lineRule="exact"/>
        <w:rPr>
          <w:sz w:val="20"/>
          <w:szCs w:val="20"/>
          <w:color w:val="auto"/>
        </w:rPr>
      </w:pPr>
    </w:p>
    <w:p>
      <w:pPr>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difficulties and costs associated with staffing at all levels, establishing and maintaining internal controls, managing foreign operations and distributor relationships, and selling directly to customers;</w:t>
      </w: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exposure to corruption and expanded compliance obligations, including under the Foreign Corrupt Practices Act, the UK Bribery Law, local anti-corruption laws, Office of Foreign Asset Control administered sanction programs, the European Union’s General Data Protection Regulation, and other emerging corruption and data privacy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Overlapping and potentially conflicting, or unexpected changes in, international legal and regulatory requirements or reimbursement policies and programs;</w:t>
      </w:r>
    </w:p>
    <w:p>
      <w:pPr>
        <w:ind w:left="660" w:right="2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expensive collection cycles in certain countries, particularly those in which our primary customers are government-funded hospitals;</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currency exchange rates, particularly fluctuations in the Euro as compared to the US Dollar and other inflationary pressures;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financial impact and negative erosion of our operating profit margin over time due to increasing inflationary pressures, including impact felt through our supply chain; our exposure may be increased through our limited ability to raise prices and through global expansion where business occurs with, or pricing is set directly by, government entities, or we are party to long term pricing agreements with governments or local distributors, impacting our ability to pass on rising costs;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 of overlapping tax structures or potential changes in domestic and international tax policy, laws, and treaties; and</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financial and regulatory consequences resulting from Brexit.</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this risk, via a Ministerial Decree of July 6, 2022, published September 15, 2022, the Italian government stated that the spending ceiling for medical devices at the national and regional levels had been exceeded, requiring medical device companies to pay back alleged overpayments the government claims companies received between 2015 and 2018. Currently, Artivion’s repayment exposure for this period is estimated at approximately €400,000, which is subject to change as judicial challenges and negotiations between us, industry, US government representatives, and the Italian government are ongoing.</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and performance have been, and may continue to be, impacted by regional and global geopolitical conditions, domestic and foreign trade and monetary policies, and other factors beyond our control. As an example of these risks, Russia’s military attacks on Ukraine have triggered significant sanctions from the US and foreign governments and retaliatory actions from Russia, resulting in significant banking and trade disruptions. More recently, war has been declared in the Gaza Strip resulting in an expanding regional crisis. These wars have resulted in significant devastation to the people and infrastructure in the region, significantly impacting trade and transportation which may impact our global supply chain, increase prices, and limit our ability to continue to do business in affected regions.</w:t>
      </w:r>
    </w:p>
    <w:p>
      <w:pPr>
        <w:spacing w:after="0" w:line="17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To date, sanctions and other disruptions in the Eastern European region have not materially impacted our business or ability to supply products to Russia, Belarus, Ukraine, and the region generally; however, continuation or escalation of the wars in Ukraine or the Middle East, or increased export controls or additional sanctions imposed on or by impacted countries, their allies, or related entities could adversely affect our financial performance. Although we do not have any direct operations in Russia, Ukraine, Israel, or Gaza, the NEXUS and NEXUS DUO (the “NEXUS Products”) are solely manufactured by Endospan in Herzliya, Israel. Although we have not experienced any material disruption of supply from Endospan, the conflict in and around Israel is rapidly evolving. Ultimately, it is difficult to predict the ultimate course of these wars and we may face business operations and supply chain disruptions as a result, including disruptions related to shortages of materials and finished goods, higher costs of materials and freight, freight delays, increased energy costs or energy shortages, travel disruptions, currency fluctuation, and disruptions to banking systems or capital markets.</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operate in highly competitive market segments, face competition from large, well-established medical device companies and tissue service providers with greater resources and we may not be able to compete effectively.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our products and services is competitive and affected by new product introductions and activities of other industry participants, including the introduction of novel products and therapies aimed at unrelated disease states or even overall patient health. In addition, such products and therapies like the recently introduced GLP-1 drugs, which we believe have or will have little to no actual impact on demand for our products, can lead to investor and customer confusion and impact the perceived demand for our products. We face intense competition in virtually all of our product lines. A significant percentage of market revenues from competitive products are generated by Baxter, Ethicon (a Johnson &amp; Johnson Company), Medtronic, plc, Abbott Laboratories, Edwards Lifesciences Corp., C.R. Bard, Inc. (a subsidiary of Becton, Dickinson and Company), Integra Life Sciences Holdings, LifeNet, Corcym, Anteris Technologies, Inc., Elutia (formerly Aziyo Biologics), Cook Medical, Gore &amp; Associates, Terumo, LeMaitre Vascular, Inc., Maquet, Inc., Pfizer, Inc., and BioCer Entwicklungs-GmbH. Several of our competitors enjoy competitive advantages over us, including:</w:t>
      </w:r>
    </w:p>
    <w:p>
      <w:pPr>
        <w:spacing w:after="0" w:line="219" w:lineRule="exact"/>
        <w:rPr>
          <w:sz w:val="20"/>
          <w:szCs w:val="20"/>
          <w:color w:val="auto"/>
        </w:rPr>
      </w:pPr>
    </w:p>
    <w:p>
      <w:pPr>
        <w:ind w:left="660" w:right="2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financial and other resources for research and development, commercialization, acquisitions, and litigation and to weather the impacts of COVID-19 and increased workforce competition;</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as well as more recognizable trademarks for products similar to products that we sell;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record of obtaining and maintaining regulatory product clearances or approvals;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relationships with healthcare providers and payors;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cost of goods sold or preservation costs;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direct sales forces and more established distribution networks.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tissue preservation services and are subject to a variety of risks affecting them.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Tissue preservation services are a significant source of our revenues, and as such, we face risks if we are unable to:</w:t>
      </w:r>
    </w:p>
    <w:p>
      <w:pPr>
        <w:spacing w:after="0" w:line="252" w:lineRule="exact"/>
        <w:rPr>
          <w:sz w:val="20"/>
          <w:szCs w:val="20"/>
          <w:color w:val="auto"/>
        </w:rPr>
      </w:pPr>
    </w:p>
    <w:p>
      <w:pPr>
        <w:jc w:val="both"/>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sufficient quantities of some human tissue or address potential excess supply of others. We rely primarily upon the efforts of third parties to educate the public and foster a willingness to donate tissue. Factors beyond our control such as supply, regulatory changes, negative publicity concerning methods of tissue recovery or disease transmission from donated tissue, or public opinion of the donor process as well as our own reputation in the industry can negatively impact the supply of tissue;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as we may be unable to capitalize on our clinical advantages or our competitors may have advantages over us in terms of cost structure, pricing, back-office automation, marketing, and sourcing; or</w:t>
      </w:r>
    </w:p>
    <w:p>
      <w:pPr>
        <w:ind w:left="66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Mitigate sufficiently the risk that tissue can become contaminated during processing; that processed tissue cannot be end-sterilized and hence carries an inherent risk of infection or disease transmission or that our quality controls can eliminate that risk.</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US and foreign governmental authorities have adopted laws and regulations that restrict tissue preservation services. Any of these laws or regulations could change, including becoming more restrictive, or our interpretation of them could be challenged by governmental authorities.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BioGlue and are subject to a variety of related risks.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BioGlue is a significant source of our revenues, and as such, any risk adversely affecting our BioGlue products or business would likely be material to our financial results. We face the following risks relating to BioGlue:</w:t>
      </w:r>
    </w:p>
    <w:p>
      <w:pPr>
        <w:spacing w:after="0" w:line="189" w:lineRule="exact"/>
        <w:rPr>
          <w:sz w:val="20"/>
          <w:szCs w:val="20"/>
          <w:color w:val="auto"/>
        </w:rPr>
      </w:pPr>
    </w:p>
    <w:p>
      <w:pPr>
        <w:ind w:left="66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our major and start up competitors, as they may have advantages over us in terms of cost structure, supply chain, pricing, sales force footprint, and brand recognition;</w:t>
      </w:r>
    </w:p>
    <w:p>
      <w:pPr>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approval to commercialize BioGlue in certain non-US countries as fast as our competitors do or at all. We also may not be able to capitalize on new BioGlue approvals, including for new indications, in non-US countries; and</w:t>
      </w:r>
    </w:p>
    <w:p>
      <w:pPr>
        <w:jc w:val="both"/>
        <w:ind w:left="66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BioGlue contains a bovine blood protein. Animal-based products are subject to increased scrutiny from the public and regulators, who may seek to impose additional regulations, regulatory hurdles or product bans in certain countries on such products; BioGlue is a mature product and other companies may use the inventions disclosed in expired BioGlue patents to develop and make competing products.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example of this risk, our BioGlue CE Mark expired in December 2021. Delays in renewing the CE Mark and challenges securing certain related derogations ultimately impacted the availability of BioGlue in certain European markets and other markets reliant on the CE Mark, impacting our revenue from BioGlue in those markets. See also, Part I, Item 1A, “Risk Factors—Industry Risks— Our products and tissues are highly regulated and subject to significant quality and regulatory risks.” (further discussing the impact of and risks relating to the BioGlue CE Mark).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aortic stent grafts and are subject to a variety of related risks.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Aortic stent grafts are a significant source of our revenues, and as such, any risk adversely affecting aortic stent grafts would likely be material to our financial results. We face risks relating to aortic stent grafts based on our ability to:</w:t>
      </w:r>
    </w:p>
    <w:p>
      <w:pPr>
        <w:spacing w:after="0" w:line="189" w:lineRule="exact"/>
        <w:rPr>
          <w:sz w:val="20"/>
          <w:szCs w:val="20"/>
          <w:color w:val="auto"/>
        </w:rPr>
      </w:pPr>
    </w:p>
    <w:p>
      <w:pPr>
        <w:ind w:left="660" w:right="20" w:hanging="328"/>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some of our major competitors, as they may have advantages over us in terms of cost structure, supply chain, pricing, sales force footprint, and brand recognition;</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innovative, high quality, and in-demand aortic repair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adequately to enhanced regulatory requirements and enforcement activities, and particularly, our ability to obtain regulatory approvals and renewals globally;</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demand and manage inventory for aortic stent grafts as we seek to expand our business globally;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productive working relationship with our Works Council in Germany.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significantly dependent on our revenues from On-X products and are subject to a variety of related risks.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On-X products are a significant source of our revenues, and as such, any risk adversely affecting our On-X products or business would likely be material to our financial results. We face risks based on our ability to:</w:t>
      </w:r>
    </w:p>
    <w:p>
      <w:pPr>
        <w:spacing w:after="0" w:line="189" w:lineRule="exact"/>
        <w:rPr>
          <w:sz w:val="20"/>
          <w:szCs w:val="20"/>
          <w:color w:val="auto"/>
        </w:rPr>
      </w:pPr>
    </w:p>
    <w:p>
      <w:pPr>
        <w:ind w:left="660" w:right="2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some of our major competitors, as they may have advantages over us in terms of cost structure, supply chain, pricing, sales force footprint, and brand recognition;</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further market share in the mechanical heart valve market based on the FDA’s approved lower INR indication for the On-X aortic heart valve or complete the associated FDA mandated post-approval studies;</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clinical trial data or changes in technology that may reduce the demand for mechanical heart valves, such as data regarding transcatheter aortic valve replacement, or “TAVR” devices;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risks associated with less favorable contract terms for On-X products on consignment at hospitals;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adequately to enhanced international regulatory requirements or enforcement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Continued fluctuation of foreign currencies relative to the US Dollar could materially, adversely affect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majority of our foreign product revenues are denominated in Euros and, as such, are sensitive to changes in exchange rates. In addition, a portion of our dollar-denominated and euro-denominated product sales are made to customers in other countries who must convert local currencies into US Dollars or Euros in order to purchase these products. We also have balances, such as cash, accounts receivable, accounts payable, and accruals that are denominated in foreign currencies. These foreign currency transactions and balances are sensitive to changes in exchange rates. Additionally, as a result of global inflationary pressures, and in some cases, currency crises, it is possible that foreign currency controls, the development of parallel exchange rates, or highly inflationary economies could arise in certain countries. Fluctuations in exchange rates of Euros or other local currencies in relation to the US Dollar could materially reduce our future revenues as compared to the comparable prior periods. Should this occur, it could have a material, adverse impact on our revenues, financial condition, profitability, and cash flows.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charges resulting from acquisitions, restructurings, and integrations may materially, adversely affect the market value of our common stock.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account for the completion of acquisitions using the purchase method of accounting. Our financial results could be adversely affected by a number of financial adjustments required by purchase accounting such as:</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amortization expense over the estimated useful lives of some acquired intangible assets;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depreciation expense as a result of recording purchased 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incur material charges relating to any impairment of goodwill and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may increase temporarily if acquired inventory is recorded at fair market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acquisition consideration consists of earn-outs, our earnings may be affected by changes in estimates of future contingent consideration;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may be affected by transaction and integration costs, which are expensed immediately.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an example of this risk, we fully impaired the value of a </w:t>
      </w:r>
      <w:r>
        <w:rPr>
          <w:rFonts w:ascii="Times New Roman" w:cs="Times New Roman" w:eastAsia="Times New Roman" w:hAnsi="Times New Roman"/>
          <w:sz w:val="18"/>
          <w:szCs w:val="18"/>
          <w:color w:val="212529"/>
        </w:rPr>
        <w:t>securities purchase option agreement with Endospan (“Endospan Option”)</w:t>
      </w:r>
      <w:r>
        <w:rPr>
          <w:rFonts w:ascii="Times New Roman" w:cs="Times New Roman" w:eastAsia="Times New Roman" w:hAnsi="Times New Roman"/>
          <w:sz w:val="18"/>
          <w:szCs w:val="18"/>
          <w:color w:val="auto"/>
        </w:rPr>
        <w:t xml:space="preserve"> and fully wrote-down the value of an agreement for a secured loan from Artivion to Endospan (“Endospan Loan”), primarily driven by a decrease in forecasted operating results. This impairment, and other potential risks like those mentioned above, may adversely affect the market value of our common stock.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health crises have, may continue to have, and could have a material, adverse impact on us.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Beginning in early 2020 businesses, communities, and governments worldwide began taking a wide range of actions to mitigate the spread and impact of COVID-19, leading to an unprecedented impact on the global economy. We continue to be subject to risks relating to the COVID-19 pandemic and its impact on broader macroeconomic trends, and risks that may result from future pandemics, epidemics, or other public health crises. The nature and extent of these risks are uncertain and may vary greatly by region, but COVID-19 and similar public health crises have impacted and can impact our workforce, business and manufacturing operations, and our R&amp;D pipeline.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role in the healthcare industry, we are particularly susceptible to the impact public health crises have on healthcare systems globally, including impacts on system capacity and procedure volumes, shortages in healthcare staffing, and restrictions on travel and non-critical hospital access, all of which have had, may continue to have, and could have an impact on our business operations and sales, particularly through reductions in demand for certain products and services due to reduced procedure volumes, or through downstream financial impact from delays or difficulty collecting outstanding receivables. This impact on healthcare system capacity may also impact our R&amp;D pipeline by impacting timelines for R&amp;D and clinical research projects and timelines associated with regulatory reviews for new and updated devices.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extent to which COVID-19, its variants, or any future public health crises and the recoveries therefrom impact our operations and broader macroeconomic conditions, will depend largely on future developments that are highly uncertain and unpredictable and may vary greatly by region. This impact and any such adverse developments or prolonged periods of uncertainty could adversely affect our financial performance.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Operational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heavily dependent on our suppliers and contract manufacturers to provide quality products.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materials and supplies used in our product manufacturing and tissue processing are subject to regulatory requirements and oversight. If materials or supplies used in our processes fail to meet these requirements or are subject to regulatory enforcement action, they may have to be scrapped, or our products or tissues could be rejected during or after processing, recalled, or rejected by customers. In these cases, we may have to immediately scrap raw or in-process materials and expense the costs of manufacturing or preservation.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example of this risk, in the fourth quarter of 2020 we became aware that a supplier shipped to us a lot of saline solution that we use in our tissue processing that contained some contamination. The contamination was identified by our routine quality controls. While we were able to mitigate the impact of this contamination through our own efforts and additional testing that was reviewed with the FDA, the contaminated solution impacted a small percentage of the tissue processed with this lot of solution, requiring us to write-off those contaminated tissues in the fourth quarter of 2020 and impacting our ability to fully meet demand for certain tissues and sizes in the fourth quarter of 2020, the first quarter of 2021, and to a lesser extent the second quarter of 202</w:t>
      </w:r>
      <w:r>
        <w:rPr>
          <w:rFonts w:ascii="Calibri" w:cs="Calibri" w:eastAsia="Calibri" w:hAnsi="Calibri"/>
          <w:sz w:val="18"/>
          <w:szCs w:val="18"/>
          <w:color w:val="auto"/>
        </w:rPr>
        <w:t>1.</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if these materials or supplies, or changes to them, do not receive regulatory approval or are recalled, if the related suppliers and/or their facilities are shut down temporarily or permanently, for any reason, or if the related suppliers are otherwise unable or unwilling to supply us, we may not have sufficient materials or supplies to manufacture our products or process tissues. In addition, we rely on contract manufacturers to manufacture some of our products or to provide additional manufacturing capacity for some products. If these contract manufacturers fail to meet our quality standards or other requirements or if they are unable or unwilling to supply the products, we may not be able to meet demand for these products. Our ability to fully recover all possible losses from these suppliers and contract manufacturers may have practical limitations imposed by factors like industry standard contractual terms or the financial resources of the adverse party.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Finally, the COVID-19 pandemic, the wars in Ukraine and the Gaza Strip, work force shortages, exchange rates, and inflation continue to impact the global supply chain; their impact on workforces, global mobility, material availability, demand, and shipping and reorder times and reliability has reportedly continued or worsened in many cases. The ongoing wars may add to or exacerbate challenges faced by the global supply chain. See Part I, Item 1A, “Risk Factors – Business and Economic Risks – We are subject to a variety of risks due to our international operations and continued global expansion.” Although we have yet to experience any material effects of this impact on our supply chain or operations, we face an increasing risk that upstream disruptions may occur. Risks relating to the lingering effects of global supply chain disruptions may even continue after COVID-19’s risk as a global pandemic and the wars in Ukraine and Gaza have subsided.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single and sole-source suppliers and single facilities.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the materials, supplies, and services used in our product manufacturing and tissue processing, as well as some of our products, are sourced from single- or sole-source suppliers. As a result, our ability to negotiate favorable terms with those suppliers may be limited, and if those suppliers experience operational, financial, quality, or regulatory difficulties, or if those suppliers and/or their facilities refuse to supply us or cease operations temporarily or permanently, or if those suppliers take unreasonable business positions, we could be forced to cease product manufacturing or tissue processing until the suppliers resume operations, until alternative suppliers could be identified and qualified, or permanently if the suppliers do not resume operations and no alternative suppliers could be identified and qualified. We also could be forced to purchase alternative materials, supplies, or services with unfavorable terms due to diminished bargaining power.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example of these risks, in 2019 we lost our supply of handpieces for cardiac laser therapy resulting from a manufacturing location change at our supplier that ultimately required a Premarket Approval (“PMA”) supplement and FDA approval before handpiece manufacturing and distribution could resume. Even though the FDA approved the PMA-S, our supplier was unable to fully resume production due to supply-related factors outside of our control and we eventually abandoned the business as of June 2023. As a result, we wrote-off all of our CardioGenesis cardiac laser therapy assets and recorded an expense of $390,000 during the twelve months ended December 31, 2023 on our Consolidated Statements of Operations and Comprehensive Loss.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By way of additional non-limiting examples, our BioGlue product has three main product components: bovine protein, a cross linker, and a molded plastic resin delivery device. The bovine protein and cross linker are obtained from a small number of qualified suppliers. The delivery devices are manufactured by a single supplier, using resin supplied by a different single supplier. We purchase grafts for our On-X AAP from a single supplier and various other components for our On-X valves come from single-source suppliers.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preservation services business and our ability to supply needed tissues is dependent upon donation of tissues from human donors by donor families. Donated human tissue is procured from deceased human donors by organ and tissue procurement organizations (“OPOs”) and tissue banks. We must rely on the OPOs and tissue banks that we work with to educate the public on the need for donation, to foster a willingness to donate tissue, to follow our donor screening and procurement procedures, and to send donated tissue to us. We have active relationships with approximately 60 OPOs and tissue banks throughout the US. As with any vendor, we believe these relationships with our OPOs are critical in the preservation services industry and that the breadth of these existing relationships provides us with a significant advantage over potential new entrants to this market. We also use various raw materials, including medicines and solutions, in our tissue processing. Some of these raw materials are manufactured by single suppliers or by a small group of suppliers.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aortic stent graft systems consist of two main product components: the stent graft and the delivery system. The stent graft is manufactured from several different raw materials that are manufactured internally or at various external suppliers, including single suppliers. The delivery systems we manufacture are comprised of several different raw materials and subassemblies. Our internal manufacturing processes include injection molding and machining of plastic parts, suturing of stent grafts, processing of Nitinol, and weaving of textiles. Our conventional polyester grafts consist of two main product components: polyester fabric and collagen coating. The polyester fabric is woven from a few different yarns that are supplied by an external supplier. The collagen suspension we manufacture is comprised of a collagenous tissue that is supplied by a single supplier. The conventional ePTFE grafts we manufacture are comprised of various raw materials supplied by several suppliers. For some products the ePTFE grafts are heparin coated. For these products, the heparin suspension we manufacture is comprised of a heparin solution that is also supplied by an external supplier.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three internal manufacturing facilities: Austin, Texas for On-X products, Hechingen, Germany for internally manufactured aortic stent grafts, and Kennesaw, Georgia for all other products and services. Certain aortic stent graft assemblies are manufactured for us by a contract manufacturer in Slovakia. The AMDS product is solely manufactured by a supplier in Charlotte, North Carolina, and the NEXUS Products are solely manufactured by Endospan in Herzliya, Israel. If one of these suppliers or facilities ceases operations temporarily or permanently, for any reason including a pandemic, war, work stoppage, or climate change related event, our business could be substantially disrupted.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work diligently to maintain adequate inventories of raw materials, components, supplies, subassemblies, and finished goods, there can be no assurance that we will be able to avoid all disruptions to our global supply chain, or disruptions to our sterilization or distribution networks. Any of these disruptions could have a material, adverse effect on our revenues, reputation, or profitability.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our specialized workforce.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and future operating results depend in significant part upon the continued contributions of our specialized workforce, including key personnel, qualified personnel with medical device and tissue processing experience, and senior management with experience in the medical device or tissue processing space, some of whom would be difficult to replace. Our business and future operating results, including production at our manufacturing and tissue processing facilities, also depend in significant part on our ability to attract and retain qualified management, operations, processing, marketing, sales, and support personnel. Our primary facilities are in Kennesaw, Georgia; Austin, Texas; and Hechingen, Germany, where the supply of qualified medical device and tissue processing and other personnel is limited, competition for such personnel is significant, and we cannot ensure that we will be successful in attracting or retaining them. We face risks if we lose any key employees to other employers or due to severe illness, death, or retirement, if any of our key employees fail to perform adequately, or if we are unable to attract and retain skilled employees. This risk was exacerbated by the pandemic and continues to be impacted by changes in macroeconomic conditions. Competition for talent and worker shortages at all levels have impacted supply chains and distribution channels and our ability to attract and retain the specialized workforce necessary for our business and operations.</w:t>
      </w:r>
    </w:p>
    <w:p>
      <w:pPr>
        <w:spacing w:after="0" w:line="2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continue to evaluate expansion through acquisitions of, or licenses with, investments in, and distribution arrangements with, other companies or technologies, which may carry significant risks.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One of our growth strategies is to pursue select acquisitions, licensing, or distribution rights with companies or technologies that complement our existing products, services, and infrastructure. In connection with one or more of these transactions, we may:</w:t>
      </w:r>
    </w:p>
    <w:p>
      <w:pPr>
        <w:spacing w:after="0" w:line="17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 ownership interest;</w:t>
      </w:r>
    </w:p>
    <w:p>
      <w:pPr>
        <w:spacing w:after="0" w:line="1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we may need in the future to operate our business;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including on terms that could be unfavorable to us or debt we might be unable to repay;</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 the transaction resulting in unfavorable tax consequences, such as a stock purchase that does not permit a step-up in basis for the assets acquired;</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unable to realize the anticipated benefits of the transaction; or</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material unknown liabilities associated with the acquired business.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not realize all the anticipated benefits of our business development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efforts to drive growth by pursuing select acquisition, license, and distribution opportunities that are aligned to our objectives and complement our existing products, services, and infrastructure or to divest non-core product lines, we have completed several transactions in recent years and may pursue similar additional transactions in the future. Examples of these activities include the following:</w:t>
      </w:r>
    </w:p>
    <w:p>
      <w:pPr>
        <w:spacing w:after="0" w:line="203" w:lineRule="exact"/>
        <w:rPr>
          <w:sz w:val="20"/>
          <w:szCs w:val="20"/>
          <w:color w:val="auto"/>
        </w:rPr>
      </w:pPr>
    </w:p>
    <w:p>
      <w:pPr>
        <w:jc w:val="both"/>
        <w:ind w:left="660" w:hanging="328"/>
        <w:spacing w:after="0" w:line="255"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2019 we entered into various agreements with Endospan, an Israeli medical device manufacturer (the “Endospan Transaction”). The Endospan Transaction included an exclusive distribution agreement for NEXUS in Europe, the Endospan Loan, and a security purchase option agreement for Artivion to purchase all the outstanding Endospan securities from Endospan’s existing security holders upon FDA approval of the NEXUS Products;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 2020 we acquired 100% of the outstanding shares of Ascyrus, the developer of AMDS;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2021 we entered into various agreements with Baxter and SMI related to the sale of our PerClot assets to Baxter and the termination of our existing material agreements with SMI.</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ability to realize the anticipated business opportunities, growth prospects, cost savings, synergies, and other benefits of these and other transactions depends on a number of factors including our ability to:</w:t>
      </w:r>
    </w:p>
    <w:p>
      <w:pPr>
        <w:spacing w:after="0" w:line="18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our global infrastructure to sell and cross-market the acquired products;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adoption of the NEXUS Products and AMDS in the European and other markets, including our ability to manage the substantial product training, implant support, and proctoring requirements for NEXUS procedures;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acquired products to the US market, including our acquired aortic stent grafts;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Harness the aortic stent graft product pipeline and our research and development capabilities;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approvals in relevant markets, including our ability to timely obtain or maintain CE Mark product certifications for pipeline and current products;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on development and clinical trial timelines for acquired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global inventories, including our ability to manage inventories for product lines with large numbers of product configurations and manage manufacturing and demand cycles to avoid excess inventory obsolescence due to shelf life expiration, particularly for processed tissues and aortic stent grafts;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service, and manage significant debt and repayment obligations;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unforeseen risks and uncertainties related to these transactions, including any related to intellectual property rights.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our ability to realize the anticipated business opportunities, growth prospects, synergies, and other benefits of the Endospan Transaction depends on a number of additional factors including Endospan’s ability to: (a) comply with the Endospan Loan and other debt obligations, and avoid an event of default; (b) successfully commercialize the NEXUS Products, raise capital and drive adoption in markets in and outside of Europe; (c) meet demand for the NEXUS Products; (d) meet quality and regulatory requirements for the NEXUS Products; (e) manage any intellectual property risks and uncertainties associated with the NEXUS Products; (f) obtain FDA approval of the NEXUS Products; (g) remain a going concern; and (h) develop the NEXUS Products, and other product improvements to meet competitive threats and physician demand. As an example of this risk, the forecasted operating results related to NEXUS decreased, resulting in an impairment to the carrying value of the Endospan Option, and a full write-down of the value of the Endospan Loan, reflecting decreased expectations with respect to the anticipated benefits of the Endospan Transaction.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these factors are outside of our control and any one of them could result in increased costs, decreased revenues, and diversion of management’s time and energy. The benefits of these transactions may not be achieved within the anticipated time frame or at all. Any of these factors could negatively impact our earnings per share, decrease or delay the expected accretive effect of the transaction, and negatively impact the price of our common stock. In addition, if we fail to realize the anticipated benefits of a transaction, we could experience an interruption or loss of momentum in our existing business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realize all the anticipated benefits of our corporate rebranding and it may result in unanticipated disruptions to our on-going business.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reflect our evolution to focus on providing innovative technologies to surgeons who treat patients with aortic disease, we changed our name to Artivion, Inc., effective January 18, 2022 (the “Corporate Rebrand”). The Corporate Rebrand also involved the adoption of a new ticker symbol on the New York Stock Exchange, “AORT”. We may face unanticipated disruptions to our business arising from the Corporate Rebrand, and it may expose us to additional risks, including:</w:t>
      </w:r>
    </w:p>
    <w:p>
      <w:pPr>
        <w:spacing w:after="0" w:line="193" w:lineRule="exact"/>
        <w:rPr>
          <w:sz w:val="20"/>
          <w:szCs w:val="20"/>
          <w:color w:val="auto"/>
        </w:rPr>
      </w:pPr>
    </w:p>
    <w:p>
      <w:pPr>
        <w:ind w:left="660" w:hanging="328"/>
        <w:spacing w:after="0" w:line="25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unanticipated delays accessing certain markets or segments due to delays or other issues with regulatory approvals, clinical trials, or other updates arising from or related to the Corporate Rebrand;</w:t>
      </w: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Confusion within the marketplace, particularly with multiple points of contact in our downstream product flow involving purchasing and accounts payable departments and end users;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risks associated with the adoption of a new corporate identity and trade dress;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brand equity associated with our legacy brands, including our CryoLife and JOTEC brands that will become less prominent over time.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Corporate Rebrand involved significant financial and resource investment and will continue to do so as we complete our global brand transitions over the coming years. The anticipated benefits of the Corporate Rebrand may not be achieved within the anticipated timeframe, without additional near or long-term investment, or at all. Any of these factors could negatively impact our revenues, earnings per share, decrease or delay the expected accretive effect of the Corporate Rebrand, and negatively impact the price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disruptions of information technology systems or breaches of information security systems could adversely affect our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upon a combination of sophisticated information technology systems as well as traditional recordkeeping to operate our business. In the ordinary course of business, we collect, store, and transmit confidential information (including, but not limited to, information about our business, financial information, personnel data, intellectual property, and, in some instances, patient data). Our information technology and information security systems and records are potentially vulnerable to security breaches, service interruptions, data loss, or malicious attacks resulting from inadvertent or intentional actions by our employees, vendors, or other third parties. In addition, as a result of changes implemented during the COVID-19 pandemic, we now have remote work arrangements for some employees, and those employees may use outside technology and systems that are vulnerable to security breaches, service interruptions, data loss or malicious attacks, including by third parties.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invested, and continue to invest, in our information technology and information security systems and employee information security training, there can be no assurance that our efforts will prevent all security breaches, service interruptions, or data losses, particularly in light of rapid improvements in information processing technology accompanying developments in, among other areas, artificial intelligence platforms. We have limited cyber-insurance coverage that may not cover all possible events, and this insurance is subject to deductibles and coverage limitations. Any security breaches, service interruptions, or data losses could adversely affect our business operations or result in the loss of critical or sensitive confidential information or intellectual property, or in financial, legal, business, and reputational harm to us or allow third parties to gain material, inside information that they may use to trade in our securities.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Industry Risks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tissues are highly regulated and subject to significant quality and regulatory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commercialization of medical devices and processing and distribution of human tissues are highly complex and subject to significant global quality and regulatory risks and as such, we face the following risks:</w:t>
      </w:r>
    </w:p>
    <w:p>
      <w:pPr>
        <w:spacing w:after="0" w:line="189" w:lineRule="exact"/>
        <w:rPr>
          <w:sz w:val="20"/>
          <w:szCs w:val="20"/>
          <w:color w:val="auto"/>
        </w:rPr>
      </w:pPr>
    </w:p>
    <w:p>
      <w:pPr>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tissues allegedly have caused, and may in the future cause, patient injury, which has exposed, and could in the future expose, us to liability claims that could lead to additional regulatory scrutiny;</w:t>
      </w:r>
    </w:p>
    <w:p>
      <w:pPr>
        <w:ind w:left="660" w:right="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and tissue processing operations are subject to regulatory scrutiny, inspections and enforcement actions, and regulatory agencies could require us to change or modify our operations or take other action, such as issuing product recalls or holds;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could reclassify, re-evaluate, or suspend our clearances or approvals, or fail to, or decline to, issue or reissue our clearances or approvals that are necessary to sell our products and distribute tissues;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quality requirements are subject to change, which could adversely affect our ability to sell our products or distribute tissues;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associated with our products, processed tissues, or our industry could lead to a decreased use of our products or tissues, increased regulatory scrutiny, or product or tissue processing liability claims.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example of these risks, on May 25, 2017, the European Union adopted new regulations governing medical devices (the MDR), which were to be fully implemented on May 26, 2021. The MDR places stricter requirements on manufacturers and European Notified Bodies regarding, among other things, product classifications and pre- and post-market clinical studies for product clearances and approvals which could result in product reclassifications or the imposition of other regulatory requirements that could delay, impede, or prevent our ability to commercialize existing, improved, or new products in the European Economic Area and other markets that require CE Marking. Additionally, to the extent the MDR places stricter requirements on manufacturers of custom-made devices, those new requirements could delay, impede, or otherwise impact the availability of our E-xtra Design Engineering services and custom-made products. COVID-19 significantly impacted the predictability and timelines associated with the MDR transition. Most recently, the European Parliament extended the MDR transition period under Regulation (EU) 2023/607 but it is still unclear whether this extension will be able to mitigate the challenges posed by the transition to the MDR. In order for devices to qualify for the extended MDR transition period, manufacturers must submit a formal application to the relevant notified body by May 26, 2024, and the applicant and notified body must enter into a signed written agreement no later than September 26, 2024. If we are unable to obtain agreements covering our products by that time, the presently applicable extensions will expire and impact our ability to market those devices.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implementation of the MDR, Notified Bodies must review any proposed changes to determine if they require evaluation under the MDR or if they can still be evaluated under the currently held Medical Device Directive (“MDD”) certifications. Our inability to obtain certifications for changes under the transitional provisions of the MDR’s Article 120 or successfully submit proposed changes requiring MDR evaluation will delay implementation of those changes which could adversely impact our ability to obtain or renew certifications, clearances, or approvals for our products.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as MDD-based CE Marks expire, recertification must be obtained under the MDR. Industry-wide, companies are experiencing delays in obtaining new and updated certifications under the MDR as Notified Bodies struggle to recover from COVID-19, deal with smaller workforces, and handle the volume of work required to transition tens of thousands of currently-marketed devices from the MDD to the MDR. As one such example, our MDD-based CE Mark for Chord-X expired in September 2022, which will impact our ability to supply certain territories once our saleable inventory is depleted. If Notified Bodies continue to struggle to meet demand and timely process submissions and recertifications, we may face additional disruptions associated with the MDR transition.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another example of this risk, our CE Mark for BioGlue expired in December 2021. Due to delays renewing this CE Mark and transitioning BioGlue to a new Notified Body, our ability to supply certain markets with BioGlue was impacted. Although we were able to mitigate most of the impact by obtaining derogations in the majority of relevant territories, we may face similar risks and market disruptions related to the MDR transition which continues to be in a state of change.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we anticipate additional regulatory impact as a result of Brexit. The UK Medicines and Healthcare Products Regulatory Agency has announced that CE Marking will continue to be recognized in the UK and certificates issued by EU-recognized Notified Bodies will continue to be valid in the UK market until the certificates expire or the applicable transition period expires (currently June 30, 2028 at the earliest). Upon expiration, all devices marketed in the UK will require UK Conformity Assessed Marks certified by a UK Approved Body (the re-designation of the UK Notified Body).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2019 our Notified Body in the UK, LRQA, informed us that it would no longer provide Notified Body services for medical devices effective September 2019. The governing German competent authority, the Regierungspraesidium-Tubingen, granted us an extended grace period until December 31, 2021 to transfer LRQA-issued certifications for BioGlue and PhotoFix to a new Notified Body. Although our BioGlue CE Mark has been successfully transferred to our new Notified Body, DEKRA, we are still in the process of transferring PhotoFix to DEKRA. While progress has been made, failure to timely complete the transfer or any other delays in the MDR transition, may have a material, adverse effect on our ability to supply PhotoFix in affected jurisdictions, have a material, adverse impact on our business, and may also impact our Medical Device Single Audit Program (“MDSAP”) certifications. Failure to timely obtain new MDSAP certifications following their expiration may impact our ability to distribute covered products in Australia, Brazil, Canada, and Japan.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Reclassification by the FDA of CryoValve SG pulmonary heart valve (“CryoValve SGPV”) may make it commercially infeasible to continue processing the CryoValve SGPV.</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Beginning in December 2019 and most recently in the fall 2023, the FDA indicted that it was planning to issue a proposed rule for reclassification of more than minimally manipulated (“MMM”) allograft heart valves to Class III medical devices, which could include our CryoValve SGPV. Following any comment period and subsequent publication of a final rule, should the CryoValve SGPV be determined to be MMM or classified as a Class III device, we currently expect to have approximately thirty months to submit a PMA application, after which the FDA will determine if, and for how long, we may continue to provide these tissues to customers during its review of the PMA application. Although this proposed rule change has, to our knowledge, remained on the HHS's unified regulatory agenda since 2019, no final rule has published at this time.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FDA ultimately classifies our CryoValve SGPV as a Class III medical device, and if there are delays in obtaining the PMA, if we are unsuccessful in obtaining the PMA, or if the costs associated with these activities are significant, we could decide that the requirements for continued processing of the CryoValve SGPV are too onerous, leading us to discontinue distribution of these tissues.</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successful in obtaining clinical results or regulatory clearances/approvals for new and existing products and services, and our approved products and services may not achieve market acceptance.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growth and profitability depends in part upon our ability to develop, and successfully introduce, new products and services, or expand upon existing indications, clearances, and approvals, requiring that we invest significant time and resources to obtain new regulatory clearances/approvals, including investment into pre- and post-market clinical studies. Although we believe certain products and services in our portfolio or under development may be effective in a particular application, we cannot be certain until we successfully execute on relevant clinical trials, and the results we obtain from pre- and post-market clinical studies may be insufficient for us to obtain or maintain any required regulatory approvals or clearances.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seeking regulatory approval for BioGlue in China, where the Chinese regulatory body has made additional requests, and expressed several concerns, related to the application. We have obtained an extension of time until February 2024 in which to file an updated submission for BioGlue in China. If the costs to file an updated submission are prohibitive, or we cannot obtain approval following the review of the updated submission or the costs to do so are prohibitive, we ultimately may be unable to sell BioGlue in China. Similarly, in November 2023 we announced that we were no longer pursuing a labeling change for our On-X mitral valve in connection with our PROACT Mitral trial due to additional investments that would be required to do so.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example of this risk, in September 2022 we halted the PROACT Xa clinical trial based on the recommendation of the trial’s Data and Safety Monitoring Board (“DSMB”) due to insufficient evidence to support non-inferiority of apixaban to warfarin for valve thrombosis and thromboembolism. The DSMB found that continuing the trial was unlikely to achieve the primary endpoint while possibly exposing patients to increased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trials, studies, and approvals is subject to the risks outlined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give assurance that regulatory agencies will clear or approve these products and services or indications, or any new products and services or new indications, on a timely basis, if ever, or that the products and services or new indications will adequately meet the requirements of the market or achieve market acceptance. Pre- and post-market clinical studies may also be delayed or halted due to many factors beyond our control.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are unable to successfully complete the development of a product, service, or application, or if we determine for any reason not to complete development or obtain regulatory approval or clearance of any product, service, or application, particularly in instances when we have expended significant capital, this could materially, adversely affect our financial performance. Research and development efforts are time consuming and expensive, and we cannot be certain that these efforts will lead to commercially successful products or services. Halting R&amp;D efforts and clinical trials prematurely may lead to accelerated or unanticipated wind down costs. Even the successful commercialization of a new product or service in the medical industry can be characterized by slow growth and high costs associated with marketing, under-utilized production capacity, and continuing research and development and education costs, among other things. The introduction of new products or services may require significant physician training or years of clinical evidence in order to gain acceptance in the medical community.</w:t>
      </w:r>
    </w:p>
    <w:p>
      <w:pPr>
        <w:spacing w:after="0" w:line="21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Increased regulatory enforcement activities and private litigation activity relating to processes and materials used in our industry could have a material, adverse impact on us.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of our products, including certain On-X products, are sterilized using EtO. Although we have a small-scale EtO facility in Austin, Texas, we rely primarily on third-party large-scale EtO facilities to sterilize our products. In addition, some of our suppliers use, or rely upon third parties to use, EtO to sterilize some of our product components. Concerns about the release of EtO into the environment at unsafe levels have led to increased activism and lobbying as well as various regulatory enforcement activities against EtO facilities, including closures and temporary closures, lawsuits against EtO service providers, and proposals increasing regulations related to EtO, including any required reduction in EtO concentration levels. The number of EtO facilities in the US is limited, and any permanent or temporary closures or disruption to their operations for any reason could delay, impede, or prevent our ability to commercialize our products.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per-and polyfluoroalkyl substances (“PFAS”) are used in a wide variety of consumer and industrial products, including medical devices and product packaging. In October 2023, the Environmental Protection Agency (the “EPA”) released final rules requiring companies to report the manufacture or import of PFAS-containing products. In addition, numerous states have instituted bans on PFAS-containing products and reporting obligations. These requirements impose a high compliance burden, and further regulation of PFAS-containing products is expected. Although we have yet to experience any material impact from this activity or identify any of our products materially impacted by PFAS-related regulation, the ultimate impact and associated cost of current and future rulemaking cannot be predicted at this time.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any litigation, regulatory enforcement, or government regulation regarding the use of EtO could result in financial, legal, business, and reputational harm to us.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fines, penalties, and other sanctions if we are deemed to be promoting the use of our products for unapproved, or off-label, uses.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future growth depend on the continued use of our products for approved uses. Generally, regulators contend that, unless our products are approved or cleared by a regulatory body for alternative uses, we may not make claims about the safety or effectiveness of our products or promote them for such uses. Such limitations present a risk that law enforcement could allege that the nature and scope of our sales, marketing, or support activities, though designed to comply with all regulatory requirements, constitute unlawful promotion of our products for an unapproved use. We also face the risk that such authorities might pursue enforcement based on past activities that we discontinued or changed. Investigations concerning the promotion of unapproved uses and related issues are typically expensive, disruptive, and burdensome and generate negative publicity. If our promotional activities are found to be in violation of the law, we may face significant fines and penalties and may be required to substantially change our sales, promotion, grant, and educational activities. In addition, we or our officers could be excluded from participation in government healthcare programs such as Medicare and Medicaid.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Healthcare policy changes may have a material, adverse effect on 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perceived increases in healthcare costs in recent years, there have been, and continue to be, proposals by the governmental authorities, third-party payors, and elected office holders and candidates to impact public health, control healthcare costs and, more generally, to reform the healthcare systems. Additional uncertainty is anticipated as debates about healthcare and public health continue in light of the COVID-19 pandemic which may have an impact on US law relating to the healthcare industry. Many US healthcare laws, such as the Affordable Care Act, are complex, subject to change, and dependent on interpretation and enforcement decisions from government agencies with broad discretion. The application of these laws to us, our customers, or the specific services and relationships we have with our customers is not always clear. Our failure to anticipate accurately any changes to, or the repeal or invalidation of all or part of the Affordable Care Act and similar or future laws and regulations, or our failure to comply with them, could create liability for us, result in adverse publicity and negatively affect our business, results of operations, and financial condition.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the growth of our business, results of operations and financial condition rely, in part, on customers in the healthcare industry that receive substantial revenues from governmental and other third-party payer programs. A reduction or less than expected increase in government funding for these programs or a change in reimbursement or allocation methodologies, or a change in reimbursement related to products designated as “breakthrough devices” by the FDA, could negatively affect our customers’ businesses and, in turn, negatively impact our business, results of operations and financial condition. Any changes that lower reimbursement for our products or reduce medical procedure volumes, could adversely affect our business and profitability.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Legal, Quality, and Regulatory Risks</w:t>
      </w:r>
    </w:p>
    <w:p>
      <w:pPr>
        <w:spacing w:after="0" w:line="2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As a medical device manufacturer and tissue services provider we are exposed to risk of product liability claims and our existing insurance coverage may be insufficient, or we may be unable to obtain insurance in the future, to cover any resulting liability.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products and processed tissues allegedly have caused, and may in the future cause, injury or result in other serious complications that may result in product or other liability claims from our customers or their patients. If our products are defectively designed, manufactured, or labeled, or contain inadequate warnings, defective components, or are misused, or are used contrary to our warnings, instructions, and approved indications, we may become subject to costly litigation that can have unpredictable and sometimes extreme outcomes.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maintain claims-made insurance policies to mitigate our financial exposure to product and tissue processing liability and securities, claims, among others, that are reported to the insurance carrier while the policy is in effect. These policies do not include coverage for punitive damages. Although we have insurance for product and tissue processing liabilities, securities, property, and general liabilities, if we are unsuccessful in arranging cost-effective acceptable resolutions of claims, it is possible that our insurance program may not be adequate to cover any or all possible claims or losses, including losses arising out of natural disasters or catastrophic circumstances. Any significant claim could result in an increase in our insurance rates or jeopardize our ability to secure coverage on reasonable terms, if at all.</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securities or product liability/tissue processing claim, even a meritless or unsuccessful one, could be costly to defend, and result in diversion of our management’s attention from our business, adverse publicity, withdrawal of clinical trial participants, injury to our reputation, or loss of revenue.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various US and international bribery, anti-kickback, false claims, privacy, transparency, and similar laws, any breach of which could cause a material, adverse effect on our business, financial condition, and profitability.</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relationships with physicians, hospitals, and other healthcare providers are subject to scrutiny under various US and international bribery, anti-kickback, false claims, privacy, transparency, and similar laws, often referred to collectively as “healthcare compliance laws.” Healthcare compliance laws are broad, sometimes ambiguous, complex, and subject to change and changing interpretations. The ongoing wars in Ukraine and Gaza, and the current and future sanctions imposed on Russia and others as a result may exacerbate these risks. See also Part I, Item 1A, “Risk Factors – Business and Economic Risks - We are subject to a variety of risks due to our international operations and continued global expansion.” Possible sanctions for violation of these healthcare compliance laws include fines, civil and criminal penalties, exclusion from government healthcare programs, and despite our compliance efforts, we face the risk of an enforcement activity or a finding of a violation of these laws.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consulting and product development agreements with healthcare professionals and healthcare organizations, including some who may order our products or make decisions to use them. We have also adopted the AdvaMed Code of Conduct, the MedTech Europe Code of Ethical Business Practice, and the APACMed Code of Ethical Conduct which govern our relationships with healthcare professionals to bolster our compliance with healthcare compliance laws. While our relationships with healthcare professionals and organizations are structured to comply with such laws and we conduct training sessions on these laws and codes, it is possible that enforcement authorities may view our relationships as prohibited arrangements that must be restructured or for which we would be subject to other significant civil or criminal penalties or debarment. In any event, any enforcement review of or action against us as a result of such review, regardless of outcome, could be costly and time consuming. Additionally, we cannot predict the impact of any changes in or interpretations of these laws, whether these changes will be retroactive or will have effect on a going-forward basis only.</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proliferation of new and expanded data privacy laws, including the General Data Protection Regulation in the European Union, could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increasing number of federal, state, and foreign data privacy laws and regulations, which can be enforced by private parties or governmental entities, have been or are being promulgated and are constantly evolving. These laws and regulations may include new requirements for companies that receive or process an individual’s personal data (including employees), which increases our operating costs and requires significant management time and energy. Many of these laws and regulations, including the European Union’s General Data Protection Regulation (“GDPR”) also include significant penalties for noncompliance. Although our personal data practices, policies, and procedures are intended to comply with GDPR and other data privacy laws and regulations, there can be no assurance that regulatory or enforcement authorities will view our arrangements as being in compliance with applicable laws, or that one or more of our employees or agents will not disregard the rules we have established. Any privacy related government enforcement activities may be costly, result in negative publicity, or subject us to significant penalties.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Some of our products and technologies are subject to significant intellectual property risks and uncertainty.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own trade secrets, patents, patent applications, and licenses relating to our technologies and trademarks and goodwill related to our products and services, which we believe provide us with important competitive advantages. We cannot be certain that we will be able to maintain our trade secrets, that our pending patent applications will issue as patents, or that no one will challenge the validity or enforceability of any intellectual property that we adopt, own, or license. Competitors may independently develop our proprietary technologies or design non-infringing alternatives to patented inventions. We do not control the maintenance, prosecution, enforcement, or strategy for in-licensed intellectual property and as such are dependent in part on the owners of these rights to maintain their viability. Their failure to do so could significantly impair our ability to exploit those technologies. Additionally, our technologies, products, or services could infringe intellectual property rights owned by others, or others could infringe our intellectual property rights.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become involved in intellectual property disputes, the costs could be expensive, and if we were to lose or decide to settle, the amounts or effects of the settlement or award by a tribunal could be costly.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Our Indebtedness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agreements governing our indebtedness contain restrictions that limit our flexibility in operating our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currently governing our indebtedness contain, and any instruments governing future indebtedness of ours may contain, covenants that impose significant operating and financial restrictions on us and certain of our subsidiaries, including (subject in each case to certain exceptions) restrictions or prohibitions on our and certain of our subsidiaries’ ability to, among other things:</w:t>
      </w:r>
    </w:p>
    <w:p>
      <w:pPr>
        <w:spacing w:after="0" w:line="203"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guarantee additional debt or create liens on certain assets;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make distributions of our share capital, including repurchasing or redeeming capital stock, or make other restricted payments, including restricted junior payments;</w:t>
      </w:r>
    </w:p>
    <w:p>
      <w:pPr>
        <w:ind w:left="660" w:right="20" w:hanging="328"/>
        <w:spacing w:after="0" w:line="250"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that restrict our subsidiaries’ ability to pay dividends to us, repay debt owed to us or our subsidiaries, or make loans or advances to us or our other subsidiaries;</w:t>
      </w:r>
    </w:p>
    <w:p>
      <w:pPr>
        <w:jc w:val="both"/>
        <w:ind w:left="66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 including any transaction or merger or consolidation, liquidation, winding-up, or dissolution; convey, sell, lease, exchange, transfer or otherwise dispose of all or any part of our business, assets or property; or sell, assign, or otherwise dispose of any capital stock of any subsidiary;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rate swap transactions, basis swaps, credit derivative transactions, and other similar transactions, whether relating to interest rates, commodities, investments, securities, currencies, or any other relevant measure, or transactions of any kind subject to any form of master purchase agreement governed by the International Swaps and Derivatives Association, Inc., any International Foreign Exchange Master Agreement, or any other master agreement;</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supplement, waive, or otherwise modify our or our subsidiaries' organizational documents in a manner that would be materially adverse to the interests of the lender, or change or amend the terms of documentation regarding junior financing in a manner that would be materially adverse to the interests of the lender;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changes to our and our subsidiaries’ fiscal year without notice to the administrative agent;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restrict our ability to incur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line of business substantially different from that in which we are currently engaged;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 including strategic acquisitions or joint ventures.</w:t>
      </w:r>
    </w:p>
    <w:p>
      <w:pPr>
        <w:spacing w:after="0" w:line="2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ability to raise additional capital to fund operations and limit our ability to react to changes in the economy or our industry.</w:t>
      </w:r>
    </w:p>
    <w:p>
      <w:pPr>
        <w:spacing w:after="0" w:line="15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current and future levels of indebtedness could adversely affect our ability to raise additional capital, limit our operational flexibility, and hinder our ability to react to changes in the economy or our industry. It may also limit our ability to borrow money, require us to dedicate substantial portions of our cash flow to repayment, and restrict our ability to invest in business opportunities. Because most of our borrowings are at a variable rate of interest, we are exposed to interest rate fluctuations.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pledged substantially all of our US assets as collateral under our existing Credit Agreement. If we default on the terms of such credit agreements and the holders of our indebtedness accelerate the repayment of such indebtedness, there can be no assurance that we will have sufficient assets to repay our indebtedness.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failure to comply with the covenants in our existing Credit Agreement could result in an event of default, which, if not cured or waived, could have a material, adverse effect on our business, financial condition, and profitability. In the event of any such default, the holders of our indebtedness:</w:t>
      </w:r>
    </w:p>
    <w:p>
      <w:pPr>
        <w:spacing w:after="0" w:line="18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required to lend any additional amounts to us; and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elect to declare all indebtedness outstanding, together with accrued and unpaid interest and fees, to be due and payable and terminate all commitments to extend further credit, if applicable.</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repay those amounts, the holders of our secured indebtedness could proceed against their secured collateral to seek repayment out of proceeds from the sale or liquidation of our assets. If our indebtedness were to be accelerated, there can be no assurance that our assets would be sufficient to repay such indebtedness in full.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Relating to Ownership of our Common Stock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impacted as a result of shareholder activism.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recent years, shareholder activists have become involved in the governance, strategic direction, and operations of companies. Such involvement with us may disrupt our business and divert the attention of our management, and any perceived uncertainties as to our future direction resulting from such involvement could result in the loss of business opportunities, be exploited by our competitors, cause concern for our current or potential customers, cause significant fluctuations in stock price, or make it more difficult to attract and retain qualified personnel and business partners.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impacted by increased shareholder emphasis on environmental, social, and governance matters or efforts by certain governmental authorities to reduce such emphasis.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Investors and other key stakeholders are increasingly focusing on areas of corporate responsibility, and particularly matters related to environmental, social, and governance (“ESG”) factors. Institutional investors have expressed expectations with respect to ESG matters that they use to guide their investment strategies and may, in some cases, choose not to invest in us if they believe our ESG policies are lagging or inadequate. Other stakeholders also have expectations regarding ESG factors, such as employees or potential employees who desire to work for a company that reflects their personal values. These areas of focus are continuing to evolve, as are the criteria that investors assess companies’ performance in these areas. Investors are increasingly looking to companies that demonstrate strong ESG and sustainability practices as an indicator of long-term resilience, especially in light of events such as the COVID-19 pandemic. Additionally, some governmental entities, regulators, and industry activist groups, particularly in Europe, are placing an increased emphasis on sustainability including through initiatives like the German Sustainability Code (the (“Deutscher Nachhaltigkeitskodex”), the Global Reporting Initiative, and guidance from agencies like the European Federation of Financial Analyst Societies. Conversely, certain governmental authorities are challenging investors' reliance on ESG factors as, among other things, inconsistent with certain fiduciary duties. Keeping up with and meeting these expectations, sometimes contradictory, may disrupt our business and divert the attention of our management, and we may be unable to make the investments in ESG programs that our competitors with greater financial resources are able to make or we may be challenged by governmental authorities if we choose to make such investments. Failure to meet the expectations of investors, other stakeholders, or certain governmental authorities in these areas may damage our reputation, impact employee retention, impact the willingness of our customers to do business with us, or otherwise impact our financial results and stock price.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do not anticipate paying any dividends on our common stock for the foreseeable future.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2015 our Board of Directors discontinued dividend payments on our common stock for the foreseeable future. If we do not pay cash dividends, our shareholders may receive a return on their investment in our common stock only through appreciation of shares of our common stock that they own. In addition, restrictions in our credit facility limit our ability to pay future dividends.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Provisions of Delaware law and anti-takeover provisions in our organizational documents may discourage or prevent a change of control, even if an acquisition would be beneficial to shareholders, which could affect our share price adversely and prevent attempts by shareholders to remove current management.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January 1, 2022 we reincorporated in Delaware. 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the organizational documents adopted in connection with our reincorporation contain provisions that restrict persons who may call shareholder meetings, allow the issuance of blank-check preferred stock without the vote of shareholders, and allow the Board of Directors to fill vacancies and fix the number of directors. These provisions of Delaware law and our articles of incorporation and bylaws could prevent attempts by shareholders to remove current management, prohibit or delay mergers or other changes of control transactions, and discourage attempts by other companies to acquire us, even if such a transaction would be beneficial to our shareholders. The effects of reincorporation in Delaware are detailed in our 2021 Special Proxy Statement and Notice of Special Meeting filed with the SEC on October 7,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privacy or security laws and other litigation and legal risk; and reputational risks. We have established cybersecurity measures, technologies, and controls to aid in our efforts to assess, identify, and manage such material risks.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enterprise risk management framework assesses cybersecurity threats alongside other company risks as part of our overall risk assessment process. This approach involves collaboration between enterprise risk professionals and subject matter experts to identify and assess material cybersecurity threat risks, their severity, and potential mitigations. We leverage various tools and services, including network monitoring, vulnerability assessments, penetration testing, and tabletop exercises, to enhance our risk identification and assessment capabilities.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cybersecurity-specific risk assessment process, benchmarks our practices against standards set by the National Institute of Standards and Technology (“NIST”), International Organization for Standardization (“ISO”), and the Center for Internet Security (“CIS”), and includes expert-led penetration tests to evaluate the security of our information systems, as such term is defined in Item 106(a) of Regulation 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safeguard critical data and systems, ensure regulatory compliance, manage our material risks from cybersecurity threats, and address potential cybersecurity incidents, as such term is defined in Item 106(a) of Regulation S-K, we:</w:t>
      </w:r>
    </w:p>
    <w:p>
      <w:pPr>
        <w:spacing w:after="0" w:line="121"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emerging data protection laws and adjust our processes and procedures as required or appropriate;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periodic, but no less than, annual training on cybersecurity, data privacy, and data handling to all employees and contractors with access to our systems;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periodic, but no less than, annual cybersecurity management and incident response training for relevant personnel, utilizing Knowbe4 resources;</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regular phishing simulations and processes for reporting phishing to enhance staff awareness and responsiveness;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that both employees and service providers treat sensitive data with utmost care, enforced through policies, practices, and contracts;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independent cybersecurity providers to assist with tabletop exercises periodically to refine our response strategies to cybersecurity incidents;</w:t>
      </w:r>
    </w:p>
    <w:p>
      <w:pPr>
        <w:ind w:left="660" w:hanging="328"/>
        <w:spacing w:after="0" w:line="25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 the NIST incident handling framework for identifying, protecting, detecting, responding to, and recovering from cybersecurity incidents; and</w:t>
      </w: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cybersecurity risk insurance to mitigate potential financial losses from incidents.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incident response plan outlines our approach to preparing for, detecting, responding to, and recovering from cybersecurity incidents, including severity assessment, containment, investigation, and remediation processes.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cybersecurity efforts involve regular engagement with external assessors, consultants, and auditors, including periodic reviews by an independent qualified security assessor to identify areas for improvement and ensure compliance, as well as assessments and audits by our insurer and our external auditing firm.</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address cybersecurity risks related to third-party service providers by incorporating these risks into our enterprise risk management and cybersecurity-specific risk assessment programs. We conduct thorough due diligence on third parties with access to our systems or data and require them to adhere to specified cybersecurity standards and audits.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potential impact of cybersecurity threats on our business strategy, operations, and financial condition is discussed under specific headings in our risk factor disclosures at Item 1A and in the Management’s Discussion and Analysis of Financial Condition and Results of Operations at Item 7 of this Annual Report on Form 10-K.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aware of any cybersecurity threats or cybersecurity incidents that have or would be reasonably likely to materially affect us, including our business strategy, results of operations or financial condition. This includes penalties and settlements, of which there were 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Cybersecurity is integral to our overall risk management strategy, and an area of increasing focus for our Board and management. The Audit Committee, and where applicable, the entire Board, are involved in overseeing cybersecurity risks. They receive quarterly and bi-annual updates, respectively, from management on our cybersecurity threat risk management and strategy processes. These updates cover various cybersecurity topics, including data security posture, third-party assessment results, progress on risk mitigation goals, incident response plans, and material cybersecurity threat risks or incidents. The Board and Audit Committee also have discussions with our global head of Information Technology and engage in separate meetings to consider cybersecurity risks in the context of broader corporate matters.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cybersecurity risk management and strategy processes are led by our global head of Information Technology who reports directly to our Chief Financial Officer. Our information technology and cybersecurity team has over 33 years of collective experience in information security and cybersecurity strategy, with various roles in significant organizations. Team members hold numerous degrees and certifications, including certifications as a Certified Information Security Manager, Certified Information Systems Security Professional, Certified Ethical Hacker, Certified Penetration Tester, among others.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global head of Information Technology is part of our operating team and ensures that management is well-informed about preventing, mitigating, detecting, and remediating cybersecurity incidents. This role involves managing our comprehensive cybersecurity risk management and strategy processes and overseeing the operation of our incident response plan.</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conclusion, our global head of Information Technology regularly updates the Audit Committee and the Board of Directors on cybersecurity threat risks and related matters, ensuring a proactive and informed approach to managing cybersecurity within our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corporate headquarters consist of approximately 190,400 square feet of leased manufacturing, administrative, laboratory, and warehouse space located on a 21.5-acre setting, with an additional 14,400 square feet of off-site warehouse space both located in Kennesaw, Georgia. The manufacturing and tissue processing space includes approximately 20,000 square feet of class 10,000 clean rooms and 8,000 square feet of class 100,000 clean rooms. This extensive clean room environment provides a controlled aseptic environment for manufacturing and tissue preservation. Two back-up emergency generators assure continuity of our manufacturing operations and liquid nitrogen freezers maintain preserved tissue at or below –135°C. We manufacture products from our Medical Devices segment, including BioGlue and PhotoFix, and process and preserve tissues from our Preservation Services segment at our headquarters facility.</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complex includes the Ronald C. Elkins Learning Center, a 3,600 square foot auditorium that holds 225 participants, and a 1,500 square foot training lab, both equipped with closed-circuit and satellite television broadcast capability allowing live worldwide broadcasts. The Ronald C. Elkins Learning Center provides visiting surgeons with a hands-on training environment for surgical and implantation techniques for our technology platforms.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European subsidiary, JOTEC, located in Hechingen, Germany, maintains facilities that consist of approximately 156,000 square feet of leased manufacturing, administrative, laboratory, and warehouse space where we manufacture aortic stent grafts.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On-X facility consists of approximately 75,000 square feet of combined manufacturing, administrative, laboratory, warehouse, and office space leased in Austin, Texas.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lease small amounts of ancillary office and warehouse space in various countries in which we operate direct sales subsidiaries, including in Brazil, Greece, Italy, Poland, Spain, Switzerland, and the United Kingdom. In April 2022 we opened a distribution center in Singapore to support sales activities in the APAC region.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concerning matters arising in connection with the conduct of our business activities. We regularly evaluate the status of legal proceedings in which we are involved in order to assess whether a loss is probable or there is a reasonable possibility that a loss or additional loss may been incurred, and to determine if accruals are appropriate. We further evaluate each legal proceeding to assess whether an estimate of possible loss or range of loss can be made.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current knowledge, management does not believe that there are any pending matters that potentially could have a material, adverse effect on our business, financial condition, results of operations, or cash flows. However, we are engaged in various legal actions in the normal course of business. There can be no assurances in light of the inherent uncertainties involved in any potential legal proceedings, some of which are beyond our control, and an adverse outcome in any legal proceeding could be material to our results of operations or cash flows for any particular reporting period.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1880"/>
        <w:spacing w:after="0" w:line="45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Price of Common Stock</w:t>
      </w: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“AORT.” Prior to January 24, 2022 our common stock was traded on the NYSE under the symbol “CRY.” The following table sets forth, for the periods indicated, the intra-day high and low sale prices per share of common stock on the NYSE.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34"/>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ind w:left="37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High</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4"/>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16, 2024 we had 175 shareholders of record.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dividends were paid in 2023, 2022, or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Neither the Company nor any affiliate or other party acting on behalf of the Company repurchased any of the Company's equity securities during the three months ended December 31, 2023.</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our new Ares Credit Agreement (further described in Liquidity and Capital Resources section in Part II, Item 7 - “Management’s Discussion and Analysis of Financial Condition and Results of Operations”), we are prohibited from repurchasing our common stock, except for the repurchase of stock from our employees or directors when tendered in payment of taxes or the exercise price of stock options, upon the satisfaction of certain requirements.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consolidated financial statements and the related notes included elsewhere in this filing. The discussion contains forward-looking statements that involve known and unknown risks and uncertainties, including those set forth under Part I, Item 1A."Risk Factors" of this Form 10-K. The following discussion and analysis do not include certain items related to the year ended December 31, 2021, including year-to-year comparisons between the year ended December 31, 2022 and the year ended December 31, 2021. For a comparison of our results of operations for the fiscal years ended December 31, 2022 and December 31, 2021, see Item</w:t>
      </w:r>
    </w:p>
    <w:p>
      <w:pPr>
        <w:spacing w:after="0" w:line="1" w:lineRule="exact"/>
        <w:rPr>
          <w:sz w:val="20"/>
          <w:szCs w:val="20"/>
          <w:color w:val="auto"/>
        </w:rPr>
      </w:pPr>
    </w:p>
    <w:p>
      <w:pPr>
        <w:ind w:firstLine="8"/>
        <w:spacing w:after="0" w:line="260" w:lineRule="auto"/>
        <w:tabs>
          <w:tab w:leader="none" w:pos="206" w:val="left"/>
        </w:tabs>
        <w:numPr>
          <w:ilvl w:val="0"/>
          <w:numId w:val="2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Management's Discussion and Analysis of Financial Condition and Results of Operations of our Annual Report on Form 10-K for the year ended December 31, 2022, filed with the SEC on February 23, 2023.</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surgical sealants, On-X mechanical heart valves and related surgical products, and implantable cardiac and vascular human tissues. Aortic stent grafts include aortic arch stent grafts, abdominal stent grafts, and synthetic vascular grafts. Aortic arch stent grafts include our E-vita Open NEO, E-vita Open Plus, AMDS, NEXUS, NEXUS DUO (the “NEXUS Products”), and E-vita Thoracic 3G products. Abdominal stent grafts include our E-xtra Design Engineering, E-nside, E-tegra, E-ventus BX, and E-liac products. Surgical sealants include BioGlue Surgical Adhesive (“BioGlue”) products. In addition to these four major product families, we sell or distribute PhotoFix bovine surgical patches and CardioGenesis cardiac laser therapy (prior to our abandonment of the business as of June 30, 2023). We began to manufacture and supply PerClot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hemostatic powder during the second quarter of 2023 (as part of the Transitional Manufacturing and Supply Agreement (“TMSA”) of the Baxter Transaction, described below).</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2023 we reported annual revenues of $354.0 million, increasing 13% over the prior year. Excluding the effects of foreign exchange, revenues increased 12% over the prior year. The increase in revenues was due to increases in revenues from aortic stent grafts, On-X products, preservation services, other products, and surgical sealants. For the year ended December 31, 2023 we reported a net loss of $30.7 million. See the “Results of Operations” section below for additional analysis of the full year 2023 results. See Part I, Item 1, “Business,” for further discussion of our business and activities during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summary of our significant accounting policies is included in Part II, Item 8, Note 1 of the “Notes to Consolidated Financial Statements.” We believe that the consistent application of these policies enables us to provide users of the financial statements with useful and reliable information about our operating results and financial condition. The consolidated financial statements are prepared in accordance with accounting principles generally accepted in the US, which require us to make estimates and assumptions. The following are accounting policies that we believe are most important to the portrayal of our financial condition and results of operations and may involve a higher degree of judgment and complexity.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Preservation Costs, net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preservation costs include costs of cardiac and vascular tissues available for shipment, tissues currently in active processing, and tissues held in quarantine pending release to implantable status. By federal law, human tissues cannot be bought or sold; therefore, the tissues we preserve are not held as inventory. The costs we incur to procure and process cardiac and vascular tissues are instead accumulated and deferred. Deferred preservation costs are stated at the lower of cost or net realizable value on a first-in, first-out basis and are deferred until revenue is recognized. Upon shipment of tissue to an implanting facility, revenue is recognized, and the related deferred preservation costs are expensed as cost of preservation services. Cost of preservation services also includes, as applicable, lower of cost or net realizable value write-downs and impairments for tissues not deemed to be recoverable, and includes, as incurred, idle facility expense, excessive spoilage, extra freight, and re-handling costs.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calculation of deferred preservation costs involves judgment and complexity and uses the same principles as inventory costing. Donated human tissue is procured from deceased human donors by organ and tissue procurement organizations (“OPOs”) and tissue banks that provide the tissue to us for processing, preservation, and distribution. Deferred preservation costs consist primarily of the procurement fees charged by the OPOs and tissue banks, direct labor and materials (including salary and fringe benefits, laboratory supplies and expenses, and freight-in charges), and indirect costs (including allocations of costs from support departments and facility allocations). Fixed production overhead costs are allocated based on actual tissue processing levels, to the extent that they are within the range of the facility’s normal capacity.</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costs are then allocated among the tissues processed during the period based on cost drivers, such as the number of donors or number of tissues processed. We apply a yield estimate to all tissues in process and in quarantine to estimate the portion of tissues that will ultimately become implantable. We estimate quarantine and in process yields based on our historical yield experience with similar tissues and re-evaluate these estimates periodically. Actual yields could differ significantly from our estimates, which could result in a change in tissues available for shipment and could increase or decrease the balance of deferred preservation costs. These changes could result in additional cost of preservation services expense or could increase per tissue preservation costs, which would impact gross margins on tissue preservation services in future periods.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regularly evaluate our deferred preservation costs to determine if the costs are appropriately recorded at the lower of cost or net realizable value. We also evaluate our deferred preservation costs for costs not deemed to be recoverable, including tissues not expected to ship prior to the expiration date of their packaging. Lower of cost or net realizable value write-downs are recorded if the tissue processing costs incurred exceed the estimated market value of the tissue services, based on recent average service fees at the time of the evaluation. Impairment write-downs are recorded based on the book value of tissues deemed to be impaired. Actual results may differ from these estimates. Write-downs of deferred preservation costs are expensed as cost of preservation services, and these write-downs are permanent impairments that create a new cost basis, which cannot be restored to its previous levels if our estimates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Contingent Consideration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represents a recurring fair value estimate of potential future payments. The fair value of the contingent consideration liability is estimated by discounting to present value the contingent payments expected to be made based on a probability-weighted scenario approach. A discount rate is applied based on our unsecured credit spread and the term commensurate risk-free rate to the additional consideration to be paid, and then we apply a risk-based estimate of the probability of achieving each scenario to calculate the fair value of the contingent consideration. This fair value measurement was based on unobservable inputs, including management estimates and assumptions about the future achievement of milestones and future estimate of revenues, and is, therefore, classified as Level 3 within the fair value hierarchy.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Part II, Item 8, Note 1 of “Notes to Consolidated Financial Statements” for further discussion of new accounting standards that have been adopted or are being evaluated for future adoption.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(Tables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Revenues for the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Revenues as a Percentage of Total</w:t>
            </w:r>
          </w:p>
        </w:tc>
        <w:tc>
          <w:tcPr>
            <w:tcW w:w="0" w:type="dxa"/>
            <w:vAlign w:val="bottom"/>
          </w:tcPr>
          <w:p>
            <w:pPr>
              <w:spacing w:after="0"/>
              <w:rPr>
                <w:sz w:val="1"/>
                <w:szCs w:val="1"/>
                <w:color w:val="auto"/>
              </w:rPr>
            </w:pPr>
          </w:p>
        </w:tc>
      </w:tr>
      <w:tr>
        <w:trPr>
          <w:trHeight w:val="184"/>
        </w:trPr>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vMerge w:val="continue"/>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Revenues for the</w:t>
            </w: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60" w:type="dxa"/>
            <w:vAlign w:val="bottom"/>
            <w:gridSpan w:val="7"/>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vMerge w:val="restart"/>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50"/>
              <w:spacing w:after="0" w:line="17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5"/>
                <w:szCs w:val="15"/>
                <w:color w:val="auto"/>
              </w:rPr>
            </w:pPr>
          </w:p>
        </w:tc>
        <w:tc>
          <w:tcPr>
            <w:tcW w:w="148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Aortic stent grafts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107,469</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92,752</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On-X</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9"/>
        </w:trPr>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Surgical sealants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65,379</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7"/>
        </w:trPr>
        <w:tc>
          <w:tcPr>
            <w:tcW w:w="3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4"/>
        </w:trPr>
        <w:tc>
          <w:tcPr>
            <w:tcW w:w="35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230,353</w:t>
            </w:r>
          </w:p>
        </w:tc>
        <w:tc>
          <w:tcPr>
            <w:tcW w:w="1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72"/>
        </w:trPr>
        <w:tc>
          <w:tcPr>
            <w:tcW w:w="3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increased 13% for the twelve months ended December 31, 2023, as compared to the twelve months ended December 31, 2022. The increase in revenues for the twelve months ended December 31, 2023 was due to an increase in revenues from aortic stent grafts, On-X products, preservation services, other products, and surgical sealants. Excluding the effects of foreign exchange, revenues increased 12% for the twelve months ended December 31, 2023, as compared to the twelve months ended December 31, 2022. Revenues for the twelve months ended December 31, 2022 were negatively impacted in certain regions by delays or cancellations of some surgical procedures as a result of reduced hospital capacity and staffing and hospital restrictions due to the COVID-19 pandemic and local labor disputes.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revenues to constant currency revenues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Revenues for the</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0" w:type="dxa"/>
            <w:vAlign w:val="bottom"/>
          </w:tcPr>
          <w:p>
            <w:pPr>
              <w:spacing w:after="0"/>
              <w:rPr>
                <w:sz w:val="1"/>
                <w:szCs w:val="1"/>
                <w:color w:val="auto"/>
              </w:rPr>
            </w:pPr>
          </w:p>
        </w:tc>
      </w:tr>
      <w:tr>
        <w:trPr>
          <w:trHeight w:val="72"/>
        </w:trPr>
        <w:tc>
          <w:tcPr>
            <w:tcW w:w="3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2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08"/>
        </w:trPr>
        <w:tc>
          <w:tcPr>
            <w:tcW w:w="3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20" w:type="dxa"/>
            <w:vAlign w:val="bottom"/>
            <w:gridSpan w:val="5"/>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Twelve Months Ended December 31,</w:t>
            </w: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From Prior</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00" w:type="dxa"/>
            <w:vAlign w:val="bottom"/>
          </w:tcPr>
          <w:p>
            <w:pPr>
              <w:spacing w:after="0"/>
              <w:rPr>
                <w:sz w:val="14"/>
                <w:szCs w:val="14"/>
                <w:color w:val="auto"/>
              </w:rPr>
            </w:pPr>
          </w:p>
        </w:tc>
        <w:tc>
          <w:tcPr>
            <w:tcW w:w="1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120" w:type="dxa"/>
            <w:vAlign w:val="bottom"/>
          </w:tcPr>
          <w:p>
            <w:pPr>
              <w:spacing w:after="0"/>
              <w:rPr>
                <w:sz w:val="14"/>
                <w:szCs w:val="14"/>
                <w:color w:val="auto"/>
              </w:rPr>
            </w:pPr>
          </w:p>
        </w:tc>
        <w:tc>
          <w:tcPr>
            <w:tcW w:w="14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Exchange Rate</w:t>
            </w:r>
          </w:p>
        </w:tc>
        <w:tc>
          <w:tcPr>
            <w:tcW w:w="240" w:type="dxa"/>
            <w:vAlign w:val="bottom"/>
          </w:tcPr>
          <w:p>
            <w:pPr>
              <w:spacing w:after="0"/>
              <w:rPr>
                <w:sz w:val="14"/>
                <w:szCs w:val="14"/>
                <w:color w:val="auto"/>
              </w:rPr>
            </w:pPr>
          </w:p>
        </w:tc>
        <w:tc>
          <w:tcPr>
            <w:tcW w:w="124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Constant</w:t>
            </w:r>
          </w:p>
        </w:tc>
        <w:tc>
          <w:tcPr>
            <w:tcW w:w="8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Constant</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Effect</w:t>
            </w:r>
          </w:p>
        </w:tc>
        <w:tc>
          <w:tcPr>
            <w:tcW w:w="2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Aortic stent grafts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107,469</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94,339</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On-X</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63,965</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Surgical sealants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65,615</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8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4"/>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230,353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232,241</w:t>
            </w: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72"/>
        </w:trPr>
        <w:tc>
          <w:tcPr>
            <w:tcW w:w="35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83,348</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2"/>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315,589</w:t>
            </w:r>
          </w:p>
        </w:tc>
        <w:tc>
          <w:tcPr>
            <w:tcW w:w="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detailed discussion of the changes in product revenues and preservation services revenues for the twelve months ended December 31, 2023 is presented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products increased 13% for the twelve months ended December 31, 2023, as compared to the twelve months ended December 31, 2022. The increase was due to an increase in revenues from aortic stent grafts, On-X products, other products, and surgical sealants. A discussion of the changes in product revenues for aortic stent grafts, On-X products, surgical sealants, and other product revenues is presented below.</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certain products through our direct sales force and distributors across Europe and various other countries are denominated in a variety of currencies including Euros, Brazilian Reals, Polish Zlotys, British Pounds, Canadian Dollars, and Swiss Francs with a concentration denominated in Euros. Each currency is subject to exchange rate fluctuations. For the twelve months ended December 31, 2023, as compared to the twelve months ended December 31, 2022, the US Dollar weakened in comparison to major currencies, resulting in revenue increases when these foreign currency denominated transactions were translated into US Dollars. Future changes in these exchange rates could have a material, adverse effect on our revenues denominated in these currencies. Additionally, our sales to many distributors around the world are denominated in US Dollars, and although these sales are not directly impacted by currency exchange rates, we believe that some of our distributors may delay or reduce purchases of products in US Dollars depending on the relative price of these goods in their local currencies.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Aortic Stent Grafts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Aortic stent grafts include aortic arch stent grafts, abdominal stent grafts, synthetic vascular grafts, and original equipment manufacturing (“OEM”) aortic stent graft products. Aortic arch stent grafts include our E-vita Open NEO, E-vita Open Plus, AMDS, the NEXUS Products, and E-vita Thoracic 3G products. Abdominal stent grafts include our E-xtra Design Engineering, E-nside, E-tegra, E-ventus BX, and E-liac products. Aortic stent grafts are used in endovascular and open vascular surgery for the treatment of complex aortic arch, thoracic, and abdominal aortic diseases. Our aortic stent grafts are primarily distributed in international markets.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sales of aortic stent grafts increased 16% for the twelve months ended December 31, 2023, as compared to the twelve months ended December 31, 2022. This increase was primarily due to a change in the mix of units sold, which increased revenues by 11%, an increase in average sales prices, which increased revenues by 3%, and the effect of foreign exchange rates, which increased revenues by 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Constant currency revenues from the sales of aortic stent grafts increased 14% for the twelve months ended December 31, 2023, as compared to the twelve months ended December 31, 2022. The increase in revenues was partially due to improved conditions from the COVID-19 pandemic, as well as increased market adoption of certain products for the twelve months ended December 31, 2023, as compared to the twelve months ended December 31, 2022. Revenues for the twelve months ended December 31, 2023 increased in all geographies, with the most significant increase in Europe, the Middle East, and Africa (collectively, “EMEA”). The revenue increase in EMEA for the twelve months ended December 31, 2023 was primarily due to an increase in buying patterns in direct (to hospitals)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On-X Products</w:t>
      </w:r>
    </w:p>
    <w:p>
      <w:pPr>
        <w:spacing w:after="0" w:line="173"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On-X products include the On-X aortic and mitral heart valves and the On-X ascending aortic prosthesis (“AAP”) for heart valve replacement. Revenues from the sales of On-X products include revenues from the distribution of CarbonAid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diffusion catheters and from the sale of Chord-X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ePTFE sutures for mitral chordal replacement. On-X product revenue also includes revenue generated from pyrolytic carbon coating services for OEM customers.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sales of On-X products increased 17% for the twelve months ended December 31, 2023, as compared to the twelve months ended December 31, 2022. This increase was primarily due to an increase in volume of units sold, which increased revenues by 11%, and an increase in average sales prices, which increased revenues by 6%.</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Constant currency revenues from the sales of On-X products increased 17% for the twelve months ended December 31, 2023, as compared to the twelve months ended December 31, 2022. The increase in revenues was partially due to improved conditions from the COVID-19 pandemic for the twelve months ended December 31, 2023, as compared to the twelve months ended December 31, 2022. Revenues for the twelve months ended December 31, 2023 increased in all geographies, with the most significant increases in North America and Asia Pacific (“APAC”). The increase in revenues in North America for the twelve months ended December 31, 2023 was also impacted by customer buying patterns. The increase in revenues in APAC for the twelve months ended December 31, 2023 was also impacted by distributor buying patterns. On-X OEM sales accounted for less than 1% of product revenues for the twelve months ended December 31, 2023 and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Domestic revenues from the sales of On-X products accounted for 60% and 63% of total On-X revenues for the twelve months ended December 31, 2023 and 2022,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Surgical Sealants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Surgical sealants include BioGlue products used as an adjunct to standard methods of achieving hemostasis (such as sutures and staples) in adult patients in open surgical repair of large vessels (such as aorta, femoral, and carotid arteries).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the sales of surgical sealants increased 4% for the twelve months ended December 31, 2023, as compared to the twelve months ended December 31, 2022. This increase in revenues was primarily due to an increase in average sales prices in certain regions, which increased revenues by 3%, and an increase in the volume of milliliters sold, which increased revenues by 1%.</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Constant currency revenues from the sales of surgical sealants increased 4% for the twelve months ended December 31, 2023, as compared to the twelve months ended December 31, 2022. The increase in revenues was primarily due to revenue increases in all geographies, except for revenue decreases in EMEA.</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from the sales of surgical sealants decreased in EMEA during the twelve months ended December 31, 2023, as compared to the twelve months ended December 31, 2022. During 2022 customers accelerated orders in certain countries in anticipation of temporary commercialization restrictions resulting from the expiration of our BioGlue CE Mark during our transition to a new Notified Body. We received renewal of our BioGlue CE Mark and completed our Notified Body transition late in the fourth quarter of 2022.</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Domestic revenues from surgical sealants accounted for 48% and 49% of total surgical sealant revenues for the twelve months ended December 31, 2023 and 2022,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revenues are comprised of revenues from PhotoFix, PerClot (as part of the TMSA of the Baxter Transaction described below), and CardioGenesis cardiac laser therapy (prior to our abandonment of that business as of June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revenues increased 34% for the twelve months ended December 31, 2023, as compared to the twelve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other revenues for the twelve months ended December 31, 2023 was primarily due to an increase in PerClot and PhotoFix product revenues, partially offset by decreased CardioGenesis revenues as a result of our abandonment of the CardioGenesis cardiac laser therapy business as of June 30, 2023.</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Revenues from our CardioGenesis cardiac laser therapy product line historically consisted primarily of sales of handpieces and, in certain periods, the sale of laser consoles. In February 2023 our supplier of handpieces informed us that it was exiting the business and would no longer be supplying handpieces effective immediately. The sole-source manufacturer of tubing used in the handpiece assembly had gone out of business and a new supplier had yet to be identified and qualified. We evaluated the impact of this disruption on our CardioGenesis cardiac laser therapy business and possible avenues for resumption of supply including the evaluation of alternate suppliers and handpiece manufacturers. As of June 30, 2023 we were unable to identify an alternative source of supply or handpiece manufacturer and do not foresee a resumption of this business in the future. As a result, we wrote-off all of our CardioGenesis cardiac laser therapy assets and recorded an expense of $390,000 during the twelve months ended December 31, 2023 on our Consolidated Statements of Operations and Comprehensive Loss.</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28, 2021 we entered into an asset purchase agreement, TMSA, and other ancillary agreements related to the sale of PerClot, a polysaccharide hemostatic agent used in surgery, to a subsidiary of Baxter International, Inc. (“Baxter”), and an agreement to terminate all of our material agreements with Starch Medical, Inc. (“SMI”) related to PerClot (collectively the “Baxter Transaction”). On May 23, 2023 the US Food and Drug Administration granted Premarket Approval (“PMA”) of PerClot for use to control bleeding in certain open and laparoscopic surgical procedures. Pursuant to the terms of the TMSA of the Baxter Transaction, we transferred the ownership of the PMA to Baxter following approval and began manufacturing and supplying PerClot for Baxter for a period of 21 months, subject to short-term renewal provisions.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Preservation Services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Preservation services include service revenues from processing cardiac and vascular tissues. Our cardiac valves are primarily used in cardiac replacement and reconstruction surgeries, including the Ross procedure, for patients with endocarditis or congenital heart defects. Our cardiac tissues are primarily distributed in domestic markets. The majority of our vascular preservation services revenues are related to shipments of saphenous veins, which are mainly used in peripheral vascular reconstruction surgeries to avoid limb amputations. Competition with synthetic product alternatives and the availability of tissues for processing are key factors affecting revenue volume that can fluctuate from quarter to quarter. Our vascular tissues are primarily distributed in domestic markets.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evaluate modifications to our tissue processing procedures in an effort to improve tissue processing throughput, reduce costs, and maintain quality across our tissue processing business. Preservation services revenues, particularly revenues for certain high-demand cardiac tissues, can vary from quarter to quarter and year to year due to a variety of factors, including quantity and type of incoming tissues, yields of tissue through the preservation process, timing of receipt of donor information, timing of the release of tissues for implant, demand for certain tissue types due to the number and type of procedures being performed, and pressures from competing products or services.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from tissue processing increased 11% for the twelve months ended December 31, 2023, as compared to the twelve months ended December 31, 2022. The increase in revenues was primarily due to an increase in average sales prices, which increased revenues by 12%, partially offset by a decrease in tissues shipped, which decreased revenues by 1%.</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w:t>
      </w:r>
    </w:p>
    <w:p>
      <w:pPr>
        <w:spacing w:after="0" w:line="2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4445</wp:posOffset>
            </wp:positionV>
            <wp:extent cx="19456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ind w:left="20"/>
        <w:spacing w:after="0"/>
        <w:tabs>
          <w:tab w:leader="none" w:pos="8180" w:val="left"/>
          <w:tab w:leader="none" w:pos="9080" w:val="left"/>
          <w:tab w:leader="none" w:pos="9760" w:val="left"/>
          <w:tab w:leader="none" w:pos="10660" w:val="left"/>
        </w:tabs>
        <w:rPr>
          <w:sz w:val="20"/>
          <w:szCs w:val="20"/>
          <w:color w:val="auto"/>
        </w:rPr>
      </w:pPr>
      <w:r>
        <w:rPr>
          <w:rFonts w:ascii="Times New Roman" w:cs="Times New Roman" w:eastAsia="Times New Roman" w:hAnsi="Times New Roman"/>
          <w:sz w:val="18"/>
          <w:szCs w:val="18"/>
          <w:color w:val="auto"/>
        </w:rPr>
        <w:t>Cost of products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84,595</w:t>
        <w:tab/>
        <w:t>$</w:t>
      </w:r>
      <w:r>
        <w:rPr>
          <w:sz w:val="20"/>
          <w:szCs w:val="20"/>
          <w:color w:val="auto"/>
        </w:rPr>
        <w:tab/>
      </w:r>
      <w:r>
        <w:rPr>
          <w:rFonts w:ascii="Times New Roman" w:cs="Times New Roman" w:eastAsia="Times New Roman" w:hAnsi="Times New Roman"/>
          <w:sz w:val="17"/>
          <w:szCs w:val="17"/>
          <w:color w:val="auto"/>
        </w:rPr>
        <w:t>72,166</w:t>
      </w: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products increased 17% for the twelve months ended December 31, 2023, as compared to the twelve months ended December 31, 2022. Cost of products for the twelve months ended December 31, 2023 and 2022 included costs related to aortic stent grafts, On-X, surgical sealants, and other products.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cost of products for the twelve months ended December 31, 2023 was primarily due to an increase in the volume of On-X products and aortic stent grafts shipped, and an increase in the cost of aortic stent grafts, surgical sealants, and On-X products shipped, as compared to the twelve months ended December 31,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Preservation Services</w:t>
      </w:r>
    </w:p>
    <w:p>
      <w:pPr>
        <w:spacing w:after="0" w:line="21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13335</wp:posOffset>
            </wp:positionV>
            <wp:extent cx="19456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6" w:lineRule="exact"/>
        <w:rPr>
          <w:sz w:val="20"/>
          <w:szCs w:val="20"/>
          <w:color w:val="auto"/>
        </w:rPr>
      </w:pPr>
    </w:p>
    <w:p>
      <w:pPr>
        <w:ind w:left="8740"/>
        <w:spacing w:after="0"/>
        <w:tabs>
          <w:tab w:leader="none" w:pos="1030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tabs>
          <w:tab w:leader="none" w:pos="8180" w:val="left"/>
          <w:tab w:leader="none" w:pos="9080" w:val="left"/>
          <w:tab w:leader="none" w:pos="9760" w:val="left"/>
          <w:tab w:leader="none" w:pos="10660" w:val="left"/>
        </w:tabs>
        <w:rPr>
          <w:sz w:val="20"/>
          <w:szCs w:val="20"/>
          <w:color w:val="auto"/>
        </w:rPr>
      </w:pPr>
      <w:r>
        <w:rPr>
          <w:rFonts w:ascii="Times New Roman" w:cs="Times New Roman" w:eastAsia="Times New Roman" w:hAnsi="Times New Roman"/>
          <w:sz w:val="18"/>
          <w:szCs w:val="18"/>
          <w:color w:val="auto"/>
        </w:rPr>
        <w:t>Cost of preservation services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40,233</w:t>
        <w:tab/>
        <w:t>$</w:t>
      </w:r>
      <w:r>
        <w:rPr>
          <w:sz w:val="20"/>
          <w:szCs w:val="20"/>
          <w:color w:val="auto"/>
        </w:rPr>
        <w:tab/>
      </w:r>
      <w:r>
        <w:rPr>
          <w:rFonts w:ascii="Times New Roman" w:cs="Times New Roman" w:eastAsia="Times New Roman" w:hAnsi="Times New Roman"/>
          <w:sz w:val="17"/>
          <w:szCs w:val="17"/>
          <w:color w:val="auto"/>
        </w:rPr>
        <w:t>39,100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preservation services increased 3% for the twelve months ended December 31, 2023, as compared to the twelve months ended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preservation services included costs for cardiac and vascular tissue preservation services.</w:t>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cost of preservation services for the twelve months ended December 31, 2023 was primarily due to an increase in processing cost of tissues shipped, as compared to the twelve months ended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1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229,176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202,523</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margin increased 13% for the twelve months ended December 31, 2023, as compared to the twelve months ended December 31, 2022.</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for the twelve months ended December 31, 2023 was positively impacted by shipments of PerClot as part of the Baxter Transaction described above. PerClot shipped during the second quarter and a portion of the third quarter of 2023 represented PerClot pre-launch inventory manufactured prior to PMA and was previously recorded as research and development expense on the Consolidated Statements of Operations and Comprehensive Loss.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for the twelve months ended December 31, 2023, as compared to the twelve months ended December 31, 2022 was also due to an increase in average sales prices of certain tissues, On-X products, and certain aortic stent grafts shipped and the mix and volume of certain aortic stent grafts, On-X, and surgical sealant products shipped, partially offset by an increase in the cost of all products shipped. Gross margin as a percentage of total revenues was flat for the twelve months ended December 31, 2023, as compared to the twelve months ended December 31, 2022. Gross margin as a percentage of total revenues was positively impacted by favorable prices of certain tissues shipped and a favorable mix of On-X products and certain aortic stent grafts shipped, offset by an increase in the cost of products shipped during the twelve months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Administrative, and Marketing Expenses</w:t>
      </w:r>
    </w:p>
    <w:p>
      <w:pPr>
        <w:spacing w:after="0" w:line="231"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208,977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157,443</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 expenses as a percentage of total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administrative, and marketing expenses increased 33% for the twelve months ended December 31, 2023, as compared to the twelve months ended December 31, 2022. The increase in General, administrative, and marketing expenses for the twelve months ended December 31, 2023 was primarily due to an increase in business development expenses, personnel-related expenses, travel, and marketing.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administrative, and marketing expenses included $25.0 million of business development expense for the twelve months ended December 31, 2023, as compared to $7.7 million of business development income for the twelve months ended December 31, 2022. We incurred $23.5 million of business development expense during the twelve months ended December 31, 2023 related to the fair value adjustments for the contingent consideration related to our future payments to Ascyrus Medical LLC (“Ascyrus”), the developer of AMDS, who we acquired in 2020, as compared to $9.0 million of business development income during the twelve months ended December 31, 2022.</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18"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jc w:val="center"/>
        <w:ind w:left="79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9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38,879</w:t>
            </w:r>
          </w:p>
        </w:tc>
      </w:t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as a percentage of total revenues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26% for the twelve months ended December 31, 2023, as compared to the twelve months ended December 31, 2022. Research and development spending for the twelve months ended December 31, 2023 was primarily focused on clinical work to gain regulatory approvals for certain aortic stent grafts, and to a lesser extent, On-X products. Research and development spending for the twelve months ended December 31, 2022 was primarily focused on clinical work to gain regulatory approvals for On-X products, certain aortic stent grafts, and PerClot products.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23, 2022 we stopped the PROACT Xa clinical trial as recommended by the trial's independent Data and Safety Monitoring Board. The PROACT Xa clinical trial was a prospective, randomized, trial designed to determine if patients with On-X mechanical aortic valves could be maintained safely and effectively on apixaban rather than on warfarin. As a result of PROACT Xa's early termination, we recorded $4.5 million of termination and wind-down expenses that were included in Research and development operating expenses on the Consolidated Statements of Operations and Comprehensive Loss for the twelve months ended December 31, 2022. The majority of these costs included administrative costs that we paid during the fourth quarter of 2022 and the first quarter of 2023, as well as the estimated cost of clinical drugs purchased for patients participating in the study that were not expected to be recovered.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also included $632,000 and $1.9 million for the twelve months ended December 31, 2023 and 2022, respectively, related to PerClot pre-launch inventory manufactured as part of the Baxter transaction.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from Sale of Non-Financial Assets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 from sale of non-financial assets for the twelve months ended December 31, 2023 consisted of the net $14.3 million received as part of the Baxter Transaction upon receipt of the PerClot PMA in May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was $25.3 million and $18.2 million for the twelve months ended December 31, 2023 and 2022, respectively. Interest expense for the twelve months ended December 31, 2023 and 2022 relates to interest on debt. The increase in interest expense for the twelve months ended December 31, 2023, as compared to the twelve months ended December 31, 2022, was primarily due to an increase in the interest rate on our term loan.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expense, net was $3.1 million for both the twelve months ended December 31, 2023 and 2022. Other expense, net for the twelve months ended December 31, 2023 primarily included a $5.0 million expense related to a payment to Endospan for achievement of certain milestones related to the NEXUS Products, partially offset by realized and unrealized effects of foreign currency gains and losses. See Part II, Item 8, Note 4 - “Agreements with Endospan” of the “Notes to Consolidated Financial Statements” for further information on our agreements with Endospan. Other expense, net for the twelve months ended December 31, 2022 primarily included realized and unrealized effects of foreign currency gains and losses.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05"/>
        </w:trPr>
        <w:tc>
          <w:tcPr>
            <w:tcW w:w="81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(Table in thousands, except per share data)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41"/>
        </w:trPr>
        <w:tc>
          <w:tcPr>
            <w:tcW w:w="8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r>
      <w:tr>
        <w:trPr>
          <w:trHeight w:val="225"/>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(14,984)</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(30,690)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Diluted weighted-average common shares outstanding</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40,743</w:t>
            </w: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40,032</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incurred a loss before income taxes for the twelve months ended December 31, 2023 and 2022. The loss before income taxes for the twelve months ended December 31, 2023 was impacted by the change in fair value of our financial instruments, an increase in certain operating expenses to support revenue expansion, and an increase in interest expense. The loss before income taxes for the twelve months ended December 31, 2022 was impacted by an increase in certain operating expenses to support revenue expansion and an increase in investments in the research and development pipeline. The loss before income taxes was partially offset by the change in fair value of the Ascyrus contingent consideration for the twelve months ended December 31, 2022. Revenues for the twelve months ended December 31, 2022 were also unfavorably impacted by delays or cancellations of some surgical procedures as a result of reduced hospital capacity and staffing and hospital restrictions due in part to the COVID-19 pandemic in certain regions.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income tax rate was an expense of 42% and 28% for the twelve months ended December 31, 2023 and 2022, respectively. The change in the tax rate for the twelve months ended December 31, 2023 was primarily due to an increase in the estimated current year valuation allowance, a settlement of prior year tax return items, and an increase in the benefit related to uncertain tax position statute expirations for the twelve months ended December 31, 2023, as compared to the twelve months ended December 31, 2022.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rate for the twelve months ended December 31, 2023 was primarily affected by an increase in the valuation allowance on our deferred tax assets, nondeductible executive compensation, income taxes in certain profitable foreign jurisdictions, and additional tax expense for uncertain tax positions. These tax expenses were partially offset by the research and development tax credit and foreign derived intangible income deduction.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rate for the twelve months ended December 31, 2022 was primarily affected by an increase in the valuation allowance on our deferred tax assets, nondeductible executive compensation, and additional tax expense for uncertain tax positions. These tax expenses were partially offset by the research and development tax credit.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experienced a net loss and diluted loss per common share for the twelve months ended December 31, 2023 and 2022. Net loss and diluted loss per common share for the twelve months ended December 31, 2023 was primarily due to loss before income taxes, as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 of Financial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US GAAP, we use constant currency revenues, which is a non-GAAP financial measure. We define constant currency revenues as revenues minus the exchange rate effect. We define exchange rate effect as the year-over-year impact of foreign currency movements using current period foreign currency rates applied to prior period transactional currency amounts.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provided non-GAAP financial measures in this report as we believe that these figures are helpful in allowing management and investors to more accurately assess the ongoing nature of our operations and measure our performance more consistently across periods. Management uses constant currency revenues internally to assess the operational performance of the Company, as a component in compensation metrics, and as a basis for strategic planning.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provided non-GAAP measures are meaningful in addition to the information contained in the US GAAP presentation of financial performance. Investors should consider this non-GAAP information in addition to, and not as a substitute for, financial measures prepared in accordance with US GAAP. In addition, this non-GAAP financial information may not be the same as similar measures presented by other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we believe the demand for most of our aortic stent grafts is seasonal, with a decline in demand generally occurring in the third quarter due to the summer holiday season in Europe. We are uncertain whether the demand for AMDS and the NEXUS Products is seasonal, as these products have not fully penetrated many markets and, therefore, the nature of any seasonal trends may not yet be obvious.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Historically, we believe the demand for BioGlue products is seasonal, with a decline in demand generally occurring in the third quarter followed by stronger demand in the fourth quarter. We believe that this trend may be due to the summer holiday season in Europe and the 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the demand for our other products is seasonal.</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Demand for our cardiac preservation services has traditionally been seasonal, with peak demand generally occurring in the third quarter. We believe this trend for cardiac preservation services is primarily due to the high number of surgeries scheduled during the summer months for school-aged patients. Based on experience in recent years, we believe that this trend is lessening as we are distributing a higher percentage of our tissues for use in adult populations.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Demand for our vascular preservation services has also traditionally been seasonal, with lowest demand generally occurring in the fourth quarter. We believe this trend for vascular preservation services is primarily due to fewer vascular surgeries being scheduled during the winter holiday months.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Working Capital</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net working capital (current assets of $280.7 million less current liabilities of $57.9 million) was $222.8 million, with a current ratio (current assets divided by current liabilities) of 5 to 1, as compared to net working capital of $197.6 million and a current ratio of 5 to 1 at December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Overall Liquidity and 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primary cash requirements for the twelve months ended December 31, 2023 were for general working capital needs, interest and principal payments under our Credit Agreement (defined below), interest payments under our Convertible Senior Notes (defined below), capital expenditures for facilities and equipment, repurchases of stock to cover tax withholdings, and payment to Endospan for achievement of certain milestones related to the NEXUS Products. We funded our cash requirements through our existing cash reserves and proceeds from stock option exercises.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cash from operations and existing cash and cash equivalents will enable us to meet our current operational liquidity needs for at least the next twelve months. Our future cash requirements are expected to include interest and principal payments under our new Initial Term Loan Facility and Convertible Senior Notes (described in “Significant Sources and Uses of Liquidity” section below), expenditures for clinical trials, research and development expenditures, general working capital needs, capital expenditures, and other corporate purposes and may include cash to fund business development activities including obligations in the agreements related to the Ascyrus transaction. These items may have a significant effect on our future cash flows during the next twelve months. Subject to the terms of our Initial Term Loan Agreement, we may seek additional borrowing capacity or financing, pursuant to our current or any future shelf registration statement, for general corporate purposes or to fund other future cash requirements. If we undertake any further significant business development activity, we may need to finance such activities by obtaining additional debt financing or using a registration statement to sell equity securities. There can be no assurance that we will be able to obtain any additional debt or equity financing at the time needed or that such financing will be available on terms that are favorable or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and Uses of Liquidity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2017 we entered into a credit and guaranty agreement for a $255.0 million senior secured credit facility, consisting of a $225.0 million secured term loan facility (the “Term Loan Facility”) and a $30.0 million secured revolving credit facility (the "Revolving Credit Facility” and, together with the Term Loan Facility, the “Credit Agreement”). We and each of our existing domestic subsidiaries (subject to certain exceptions and exclusions) guarantee the obligations under the Credit Agreement (the “Guarantors”). The Credit Agreement is secured by a security interest in substantially all existing and after-acquired real and personal property (subject to certain exceptions and exclusions) of us and the Guarantors.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as amended on June 2, 2021, bears interest, at our option, at a floating annual rate equal to either the base rate, plus a margin of 2.50%, or LIBOR, plus a margin of 3.50%.</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interest rate of our Term Loan Facility, as amended on December 19, 2022, was calculated as Term SOFR plus a fixed percentage credit spread of 3.50%. The loan under the Revolving Credit Facility, as amended, bears interest at Term SOFR plus a margin of between 4.00% and 4.25%, depending on our consolidated net leverage ratio. As of December 31, 2023 the aggregate interest rate of the Credit Agreement was 8.97% per annum.</w:t>
      </w:r>
    </w:p>
    <w:p>
      <w:pPr>
        <w:spacing w:after="0" w:line="13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January 18, 2024 we entered into a credit and guaranty agreement with Ares Management Credit funds (the “Ares Credit Agreement”) for $350.0 million of senior secured, interest-only, credit facilities, consisting of a $190.0 million term loan facility (the “Initial Term Loan Facility”), a $100.0 million</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delayed draw term loan facility </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the “Delayed Draw Term Loan Facility” and, together with the Initial Term Loan Facility, the “Term Loan Facilities”) and a $60.0 million “senior-priority” revolving credit facility (the “Revolving Credit Facility” and, together with the Term Loan Facilities, the “Credit Facilities”). Upon closing, we borrowed $190.0 million under the Initial Term Loan Facility and $30.0 million under the Revolving Credit Facility. The proceeds of the initial borrowings were used along with cash on hand to pay off our existing credit facilities, dated as of December 1, 2017, and related fees and expenses. See Part II, Item 8, Note 17 of the “Notes to Consolidated Financial Statements” for further discussion of our new credit and guaranty agreement.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final scheduled maturity date of the Credit Facilities is January 18, 2030. There are no scheduled repayments of principal required to be made prior to the final maturity date. We have the right to prepay loans under the Ares Credit Agreement in whole or in part at any time, provided that any prepayment of loans under the Term Loan Facilities (or loans under the Revolving Credit Facility to the extent of reducing the balance of outstanding loans below $30.0 million) will be subject to a prepayment premium of 5.00% if the prepayment occurs prior to January 18, 2025 and 1.00% if the prepayment occurs thereafter and prior to January 18, 2026. Amounts repaid in respect of loans under the Initial Term Loan Facilities may not be reborrowed. Amounts repaid in respect of loans under the Revolving Credit Facility may be reborrowed. Loans under the Term Loan Facilities bear interest, at our option, at a floating annual rate equal to either the base rate plus a margin of 5.50% or SOFR plus a margin of 6.50%; beginning with the second fiscal quarter of 2025, the margin may step down to 5.25% and 6.25%, respectively, based on our total net leverage ratio at such time. Loans under the Revolving Credit Facility bear interest, at our option, at a floating annual rate equal to either the base rate plus a margin of 3.00% or SOFR plus a margin of 4.00%. In addition, we will be required to pay fees of 0.50% per annum on the daily unused amount of the Revolving Credit Facility and 1.00% per annum on the daily unused amount of the Delayed Draw Term Loan Facility.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18, 2020 we issued $100.0 million aggregate principal amount of 4.25% Convertible Senior Notes with a maturity date of July 1, 2025 (the “Convertible Senior Notes”). The Convertible Senior Notes may be settled in cash, stock, or a combination thereof, solely at our discretion. The initial conversion rate of the Convertible Senior Notes is 42.6203 shares per $1,000 principal amount, which is equivalent to a conversion price of approximately $23.46 per share, subject to adjustments. We use the if-converted method for assumed conversion of the Convertible Senior Notes for the diluted earnings per share calculation. The fair value and the effective interest rate of the Convertible Senior Notes as of December 31, 2023 was approximately $106.4 million and 5.05%, respectively. The fair value was based on market prices observable for similar instruments and is considered Level 2 in the fair value hierarchy.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Holders of the Convertible Senior Notes may convert their notes at their option at any time prior to January 1, 2025 but only under the following circumstances: (i) during any calendar quarter commencing after the calendar quarter ending on September 30, 2020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(ii) during the five business day period after any five consecutive trading day period in which the trading price per $1,000 principal amount of notes for each trading day of the measurement period was less than 98% of the product of the last reported sale price of our common stock and the conversion rate on each such trading day; (iii) we give a notice of redemption with respect to any or all of the notes, at any time prior to the close of business on the second scheduled trading day immediately preceding the redemption date; or (iv) upon the occurrence of specified corporate events. On or after January 1, 2025 until the close of business on the second scheduled trading day immediately preceding the maturity date, holders may convert their notes at any time, regardless of the foregoing circumstances.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became eligible to redeem the Convertible Senior Notes beginning on July 5, 2023, following the expiration of their non-redemption period. We are able to redeem the Convertible Senior Notes in whole or in part, at our option, if the last reported sale price per share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We may redeem for cash all or part of the Convertible Senior Notes at a redemption price equal to 100% of the principal amount of the redeemable Convertible Senior Notes, plus accrued and unpaid interest to, but excluding, the redemption date. No principal payments are due on the Convertible Senior Notes prior to maturity. Other than restrictions relating to certain fundamental changes and consolidations, mergers or asset sales and customary anti-dilution adjustments, the Convertible Senior Notes do not contain any financial covenants and do not restrict us from conducting significant restructuring transactions or issuing or repurchasing any of its other securities.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approximately 31% of our cash and cash equivalents were held in foreign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flows from operating activities, investing activities, and financing activities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30"/>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(10,715)</w:t>
            </w:r>
          </w:p>
        </w:tc>
      </w:tr>
      <w:tr>
        <w:trPr>
          <w:trHeight w:val="230"/>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29"/>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(15,659)</w:t>
            </w:r>
          </w:p>
        </w:tc>
      </w:tr>
      <w:tr>
        <w:trPr>
          <w:trHeight w:val="20"/>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Operating Activities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$18.8 million for the twelve months ended December 31, 2023, as compared to net cash used in operating activities of $5.2 million for the twelve months ended December 31, 2022.</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the indirect method to prepare our cash flow statement, and accordingly, the operating cash flows are based on our net loss, which is then adjusted to remove non-cash items, items classified as investing and financing cash flows, and for changes in operating assets and liabilities from the prior year end. For the twelve months ended December 31, 2023 these non-cash items primarily included $23.5 million of fair value adjustments of financial instruments, $23.1 million of depreciation and amortization expenses, $14.4 million of non-cash compensation, $14.3 million of gain from sale of non-financial assets, $7.4 million of lease expense, $5.0 million of fair value adjustment of long-term loan, and $4.8 million of write-down of inventories and deferred preservation costs.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working capital needs, or changes in operating assets and liabilities, also affected cash from operations. For the twelve months ended December 31, 2023 these changes included the favorable effect of $1.7 million due to the timing differences between the recording of accounts payable and other current liabilities, $535,000 due to a decrease in prepaid expenses and other assets, partially offset by $14.4 million due to an increase in inventory balances and deferred preservation costs and the unfavorable effect of $4.1 million due to the timing differences between recording receivables and the receipt of cash.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Investing Activities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$502,000 and $10.7 million for the twelve months ended December 31, 2023 and 2022, respectively. During the twelve months ended December 31, 2023 cash flows used in investing activities primarily included $7.4 million of cash used for capital expenditures, $5.0 million for the payment related to our agreement with Endospan, partially offset by $14.3 million of proceeds from the sale of non-financial assets.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Flows from Financing Activities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$865,000 for the twelve months ended December 31, 2023, as compared to net cash used in financing activities of $1.6 million for the twelve months ended December 31, 2022. The current year cash provided by financing activities was primarily due to $4.0 million of proceeds from exercise of stock options and issuances of common stock, $3.6 million of proceeds from financing insurance premiums, partially offset by $2.8 million for the repayment of debt and $2.5 million for the payments of short-term notes payable.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Scheduled Contractual Obligations and Future Payments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long-term debt obligations and interest payments include $320.5 million of scheduled principal payments and $139.0 million in anticipated interest payments primarily related to our Initial Term Loan Facility, Revolving Credit Facility, Convertible Senior Notes, and other governmental loans.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contingent payment obligations that include up to $100.0 million to be paid to the former shareholders of Ascyrus upon the achievement of certain milestones. As part of the transaction with Baxter, we may be required to pay up to $3.0 million if certain milestones are met.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operating and finance lease obligations result from the lease of land and buildings that comprise our corporate headquarters and our various manufacturing facilities, leases related to additional manufacturing, office, and warehouse space, leases on company vehicles, and leases on a variety of office equipment and other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twelve months ended December 31, 2023 and 2022 were $7.4 million and $9.0 million, respectively. Capital expenditures in the twelve months ended December 31, 2023 were primarily related to routine purchases of manufacturing and tissue processing equipment, computer software, leasehold improvements needed to support our business, and computer equipment.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interest income and interest expense are sensitive to changes in the general level of US interest rates. In this regard, changes in US interest rates affect the interest earned on our cash and cash equivalents of $58.9 million as of December 31, 2023, and interest paid on the outstanding balances, if any, of our variable rate Revolving Credit Facility, Term Loan Facility, and Convertible Senior Notes. A 10% adverse change in interest rates, as compared to the rates experienced by us for the twelve months ended December 31, 2023 affecting our cash and cash equivalents, Term Loan Facility, Revolving Credit Facility, and Convertible Senior Notes would not have a material impact on our financial position, profitability, or 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balances, such as cash, accounts receivable, accounts payable, and accruals that are denominated in foreign currencies. These foreign currency denominated balances are sensitive to changes in exchange rates. In this regard, changes in exchange rates could cause a change in the US Dollar equivalent of cash or funds that we will receive in payment for assets or that we would have to pay to settle liabilities. As a result, we could be required to record these changes as gains or losses on foreign currency translation. Realized and unrealized gains and losses were a gain of $2.1 million, a loss of $3.1 million, and a loss of $5.5 million, for the years ended December 31, 2023, 2022, and 2021,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revenues and expenses that are denominated in foreign currencies. Specifically, a portion of our international aortic stent grafts, surgical sealants, On-X products, and other product revenues are denominated in Euros, Brazilian Reals, Polish Zlotys, British Pounds, Canadian Dollars, and Swiss Francs and a portion of our General, administrative, and marketing expenses are denominated in Euros, Brazilian Reals, Polish Zlotys, British Pounds, Canadian Dollars, Swiss Francs, and Singapore Dollars. These foreign currency transactions are sensitive to changes in exchange rates. In this regard, changes in exchange rates could cause a change in the US Dollar equivalent of net income from transactions conducted in other currencies. As a result, we could recognize a reduction in revenues or an increase in expenses related to a change in exchange rates.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additional 10% adverse change in exchange rates from the exchange rates in effect on December 31, 2023 could impact our financial position or cash flows by approximately $7.0 million. An additional 10% adverse change in exchange rates from the weighted-average exchange rates experienced by us for the twelve months ended December 31, 2023 affecting our revenue and expense transactions denominated in foreign currencies, would not have a material impact on our financial position or profitability.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92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006"/>
        </w:trPr>
        <w:tc>
          <w:tcPr>
            <w:tcW w:w="92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020" w:type="dxa"/>
            <w:vAlign w:val="bottom"/>
          </w:tcPr>
          <w:p>
            <w:pPr>
              <w:spacing w:after="0"/>
              <w:rPr>
                <w:sz w:val="24"/>
                <w:szCs w:val="24"/>
                <w:color w:val="auto"/>
              </w:rPr>
            </w:pPr>
          </w:p>
        </w:tc>
      </w:tr>
      <w:tr>
        <w:trPr>
          <w:trHeight w:val="405"/>
        </w:trPr>
        <w:tc>
          <w:tcPr>
            <w:tcW w:w="92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0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FIRMS </w:t>
            </w:r>
            <w:r>
              <w:rPr>
                <w:rFonts w:ascii="Times New Roman" w:cs="Times New Roman" w:eastAsia="Times New Roman" w:hAnsi="Times New Roman"/>
                <w:sz w:val="18"/>
                <w:szCs w:val="18"/>
                <w:color w:val="000000"/>
              </w:rPr>
              <w:t>– (PCAOB ID:42)</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20" w:type="dxa"/>
            <w:vAlign w:val="bottom"/>
          </w:tcPr>
          <w:p>
            <w:pPr>
              <w:spacing w:after="0"/>
              <w:rPr>
                <w:sz w:val="19"/>
                <w:szCs w:val="19"/>
                <w:color w:val="auto"/>
              </w:rPr>
            </w:pPr>
          </w:p>
        </w:tc>
        <w:tc>
          <w:tcPr>
            <w:tcW w:w="29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3020" w:type="dxa"/>
            <w:vAlign w:val="bottom"/>
            <w:tcBorders>
              <w:top w:val="single" w:sz="8" w:color="0000FF"/>
            </w:tcBorders>
            <w:gridSpan w:val="4"/>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tcBorders>
              <w:top w:val="single" w:sz="8" w:color="auto"/>
            </w:tcBorders>
            <w:gridSpan w:val="2"/>
          </w:tcPr>
          <w:p>
            <w:pPr>
              <w:spacing w:after="0"/>
              <w:rPr>
                <w:sz w:val="19"/>
                <w:szCs w:val="19"/>
                <w:color w:val="auto"/>
              </w:rPr>
            </w:pPr>
          </w:p>
        </w:tc>
        <w:tc>
          <w:tcPr>
            <w:tcW w:w="18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20" w:type="dxa"/>
            <w:vAlign w:val="bottom"/>
          </w:tcPr>
          <w:p>
            <w:pPr>
              <w:spacing w:after="0"/>
              <w:rPr>
                <w:sz w:val="19"/>
                <w:szCs w:val="19"/>
                <w:color w:val="auto"/>
              </w:rPr>
            </w:pP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20" w:type="dxa"/>
            <w:vAlign w:val="bottom"/>
          </w:tcPr>
          <w:p>
            <w:pPr>
              <w:spacing w:after="0"/>
              <w:rPr>
                <w:sz w:val="19"/>
                <w:szCs w:val="19"/>
                <w:color w:val="auto"/>
              </w:rPr>
            </w:pPr>
          </w:p>
        </w:tc>
        <w:tc>
          <w:tcPr>
            <w:tcW w:w="4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2420" w:type="dxa"/>
            <w:vAlign w:val="bottom"/>
            <w:tcBorders>
              <w:top w:val="single" w:sz="8" w:color="0000FF"/>
            </w:tcBorders>
            <w:gridSpan w:val="5"/>
          </w:tcPr>
          <w:p>
            <w:pPr>
              <w:spacing w:after="0"/>
              <w:rPr>
                <w:sz w:val="19"/>
                <w:szCs w:val="19"/>
                <w:color w:val="auto"/>
              </w:rPr>
            </w:pPr>
          </w:p>
        </w:tc>
        <w:tc>
          <w:tcPr>
            <w:tcW w:w="2760" w:type="dxa"/>
            <w:vAlign w:val="bottom"/>
            <w:gridSpan w:val="2"/>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20" w:type="dxa"/>
            <w:vAlign w:val="bottom"/>
          </w:tcPr>
          <w:p>
            <w:pPr>
              <w:spacing w:after="0"/>
              <w:rPr>
                <w:sz w:val="19"/>
                <w:szCs w:val="19"/>
                <w:color w:val="auto"/>
              </w:rPr>
            </w:pPr>
          </w:p>
        </w:tc>
        <w:tc>
          <w:tcPr>
            <w:tcW w:w="92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20" w:type="dxa"/>
            <w:vAlign w:val="bottom"/>
          </w:tcPr>
          <w:p>
            <w:pPr>
              <w:spacing w:after="0"/>
              <w:rPr>
                <w:sz w:val="19"/>
                <w:szCs w:val="19"/>
                <w:color w:val="auto"/>
              </w:rPr>
            </w:pPr>
          </w:p>
        </w:tc>
        <w:tc>
          <w:tcPr>
            <w:tcW w:w="44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w:t>
            </w:r>
          </w:p>
        </w:tc>
        <w:tc>
          <w:tcPr>
            <w:tcW w:w="580" w:type="dxa"/>
            <w:vAlign w:val="bottom"/>
            <w:tcBorders>
              <w:top w:val="single" w:sz="8" w:color="0000FF"/>
            </w:tcBorders>
          </w:tcPr>
          <w:p>
            <w:pPr>
              <w:spacing w:after="0"/>
              <w:rPr>
                <w:sz w:val="19"/>
                <w:szCs w:val="19"/>
                <w:color w:val="auto"/>
              </w:rPr>
            </w:pPr>
          </w:p>
        </w:tc>
        <w:tc>
          <w:tcPr>
            <w:tcW w:w="4140" w:type="dxa"/>
            <w:vAlign w:val="bottom"/>
            <w:gridSpan w:val="5"/>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938"/>
        </w:trPr>
        <w:tc>
          <w:tcPr>
            <w:tcW w:w="6020" w:type="dxa"/>
            <w:vAlign w:val="bottom"/>
            <w:gridSpan w:val="7"/>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Controls over Financial Reporting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of Artivion, Inc. and subsidiaries (“Artivion” or “we”) is responsible for establishing and maintaining adequate internal controls over financial reporting as defined in Rules 13a-15(f) and 15d-15(f) under the Securities Exchange Act of 1934. Artivion’s internal control system was designed to provide reasonable assurance to Artivion’s management and Board of Directors regarding the preparation and fair presentation of published financial statements.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Artivion management assessed the effectiveness of Artivion’s internal controls over financial reporting as of December 31, 2023. In making this assessment, we used the criteria set forth in the Internal Control-Integrated Framework issued by the Committee of Sponsoring Organizations of the Treadway Commission (2013 framework). Based on this assessment, we have determined that, as of December 31, 2023, our internal controls over financial reporting was effective based on those criteria.</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Artivion’s independent registered public accounting firm, Ernst &amp; Young, LLP, has issued an audit report on the effectiveness of Artivion’s internal controls over financial reporting as of December 31,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Artivion,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Artivion, Inc. and subsidiaries (the Company) as of December 31, 2023 and 2022, the related consolidated statements of operations and comprehensive loss, shareholders'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23, 2024 expressed an unqualified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Preservation Costs</w:t>
      </w:r>
    </w:p>
    <w:p>
      <w:pPr>
        <w:spacing w:after="0" w:line="200" w:lineRule="exact"/>
        <w:rPr>
          <w:sz w:val="20"/>
          <w:szCs w:val="20"/>
          <w:color w:val="auto"/>
        </w:rPr>
      </w:pPr>
    </w:p>
    <w:p>
      <w:pPr>
        <w:spacing w:after="0" w:line="230" w:lineRule="exact"/>
        <w:rPr>
          <w:sz w:val="20"/>
          <w:szCs w:val="20"/>
          <w:color w:val="auto"/>
        </w:rPr>
      </w:pPr>
    </w:p>
    <w:p>
      <w:pPr>
        <w:jc w:val="both"/>
        <w:ind w:left="2160" w:hanging="2132"/>
        <w:spacing w:after="0" w:line="252"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Description of the Matter</w:t>
      </w:r>
      <w:r>
        <w:rPr>
          <w:sz w:val="20"/>
          <w:szCs w:val="20"/>
          <w:color w:val="auto"/>
        </w:rPr>
        <w:tab/>
      </w:r>
      <w:r>
        <w:rPr>
          <w:rFonts w:ascii="Times New Roman" w:cs="Times New Roman" w:eastAsia="Times New Roman" w:hAnsi="Times New Roman"/>
          <w:sz w:val="18"/>
          <w:szCs w:val="18"/>
          <w:color w:val="auto"/>
        </w:rPr>
        <w:t>At December 31, 2023, the Company’s deferred preservation costs, net, balance was $49.8 million. As discussed in Note 1 to the consolidated financial statements, the calculation of deferred preservation costs involves judgment and complexity and uses the same principles as inventory costing. Donated human tissue is procured from deceased human donors by organ and tissue procurement organizations (“OPOs”) and tissue banks, that provide the tissue to the Company for processing, preservation, and distribution. Deferred preservation costs consist primarily of the procurement fees charged by the OPOs and tissue banks, direct labor and materials (including salary and fringe benefits, laboratory supplies and expenses, and freight-in charges), and indirect costs (including allocations of costs from support departments and facility allocations). Fixed production overhead costs are allocated based on actual tissue processing levels, to the extent that they are within the range of the facility’s normal capacity. These costs are then allocated among the tissues processed during the period based on cost drivers, such as the number of donors or number of tissues processed. The Company applies a yield estimate to all tissues in process and in quarantine to estimate the portion of tissues that will ultimately become implantable. Estimated yields are based on the Company’s historical yield experience with similar tissues and these estimates are evaluated periodically to determine whether the appropriate historical volume and time periods are being used to calculate the yields applied to in-process tissues to determine the equivalent units on hand at each period end.</w:t>
      </w:r>
    </w:p>
    <w:p>
      <w:pPr>
        <w:spacing w:after="0" w:line="159" w:lineRule="exact"/>
        <w:rPr>
          <w:sz w:val="20"/>
          <w:szCs w:val="20"/>
          <w:color w:val="auto"/>
        </w:rPr>
      </w:pPr>
    </w:p>
    <w:p>
      <w:pPr>
        <w:jc w:val="both"/>
        <w:ind w:left="2160"/>
        <w:spacing w:after="0" w:line="261" w:lineRule="auto"/>
        <w:rPr>
          <w:sz w:val="20"/>
          <w:szCs w:val="20"/>
          <w:color w:val="auto"/>
        </w:rPr>
      </w:pPr>
      <w:r>
        <w:rPr>
          <w:rFonts w:ascii="Times New Roman" w:cs="Times New Roman" w:eastAsia="Times New Roman" w:hAnsi="Times New Roman"/>
          <w:sz w:val="18"/>
          <w:szCs w:val="18"/>
          <w:color w:val="auto"/>
        </w:rPr>
        <w:t>Auditing management’s deferred preservation costs was complex and required judgment due to the detailed calculations within the Company’s costing model to determine the amount of preservation costs deferred, including the estimation of the number of in-process tissue equivalent units based on historical volumes and yields by tissue type that is utilized to determine the number of tissues in process that will ultimately become implantable to which the deferred costs will be applied.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214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8"/>
          <w:szCs w:val="18"/>
          <w:color w:val="auto"/>
        </w:rPr>
        <w:t>We obtained an understanding, evaluated the design and tested the operating effectiveness of controls over the process used</w:t>
      </w:r>
    </w:p>
    <w:p>
      <w:pPr>
        <w:spacing w:after="0" w:line="29" w:lineRule="exact"/>
        <w:rPr>
          <w:sz w:val="20"/>
          <w:szCs w:val="20"/>
          <w:color w:val="auto"/>
        </w:rPr>
      </w:pPr>
    </w:p>
    <w:p>
      <w:pPr>
        <w:jc w:val="both"/>
        <w:ind w:left="2160" w:hanging="2132"/>
        <w:spacing w:after="0" w:line="255" w:lineRule="auto"/>
        <w:tabs>
          <w:tab w:leader="none" w:pos="214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by management to calculate the Company’s deferred preservation costs, including controls over management’s review of the completeness and accuracy of the deferred preservation cost model and key inputs such as the historical yield information used to estimate the in-process tissue equivalent units as a component of the deferred preservation costs, as discussed above.</w:t>
      </w:r>
    </w:p>
    <w:p>
      <w:pPr>
        <w:spacing w:after="0" w:line="145" w:lineRule="exact"/>
        <w:rPr>
          <w:sz w:val="20"/>
          <w:szCs w:val="20"/>
          <w:color w:val="auto"/>
        </w:rPr>
      </w:pPr>
    </w:p>
    <w:p>
      <w:pPr>
        <w:jc w:val="both"/>
        <w:ind w:left="2160"/>
        <w:spacing w:after="0" w:line="255" w:lineRule="auto"/>
        <w:rPr>
          <w:sz w:val="20"/>
          <w:szCs w:val="20"/>
          <w:color w:val="auto"/>
        </w:rPr>
      </w:pPr>
      <w:r>
        <w:rPr>
          <w:rFonts w:ascii="Times New Roman" w:cs="Times New Roman" w:eastAsia="Times New Roman" w:hAnsi="Times New Roman"/>
          <w:sz w:val="18"/>
          <w:szCs w:val="18"/>
          <w:color w:val="auto"/>
        </w:rPr>
        <w:t>To test the appropriateness of the amounts recorded as deferred preservation costs, we performed audit procedures that included, among others, testing the nature of costs being deferred and the accuracy of the calculation of deferred preservation costs by agreeing the amounts to and testing the underlying reports and analyses supporting the calculation of costs to be deferred. We tested the yield estimates applied to determine the equivalent units of in-process tissues by understanding and testing the historical information utilized and comparing the yields utilized in the period end model to those historical results. We also compared the reconciliation of the ending balance of deferred preservation costs as calculated in the Company’s deferred preservation cost calculation model to amounts recorded in the general ledger.</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Artivion,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have audited Artivion, Inc. and subsidiaries’ internal control over financial reporting as of December 31, 2023, based on criteria established in Internal Control—Integrated Framework issued by the Committee of Sponsoring Organizations of the Treadway Commission (2013 framework) (the COSO criteria). In our opinion, Artivion, Inc. and subsidiaries (the Company) maintained, in all material respects, effective internal control over financial reporting as of December 31, 2023, based on the COSO criteria.</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shareholders' equity and cash flows for each of the three years in the period ended December 31, 2023, and the related notes and our report dated February 23, 2024 expressed an unqualified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4"/>
        </w:trPr>
        <w:tc>
          <w:tcPr>
            <w:tcW w:w="128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49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9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9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4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40" w:type="dxa"/>
            <w:vAlign w:val="bottom"/>
            <w:gridSpan w:val="2"/>
          </w:tcPr>
          <w:p>
            <w:pPr>
              <w:spacing w:after="0"/>
              <w:rPr>
                <w:sz w:val="23"/>
                <w:szCs w:val="23"/>
                <w:color w:val="auto"/>
              </w:rPr>
            </w:pPr>
          </w:p>
        </w:tc>
        <w:tc>
          <w:tcPr>
            <w:tcW w:w="4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61,820</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7,764</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 net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81,976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74,478</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preservation costs, net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280,668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247,334</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243,631</w:t>
            </w:r>
          </w:p>
        </w:tc>
        <w:tc>
          <w:tcPr>
            <w:tcW w:w="0" w:type="dxa"/>
            <w:vAlign w:val="bottom"/>
          </w:tcPr>
          <w:p>
            <w:pPr>
              <w:spacing w:after="0"/>
              <w:rPr>
                <w:sz w:val="1"/>
                <w:szCs w:val="1"/>
                <w:color w:val="auto"/>
              </w:rPr>
            </w:pPr>
          </w:p>
        </w:tc>
      </w:tr>
      <w:tr>
        <w:trPr>
          <w:trHeight w:val="23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Acquired technology, net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142,593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151,263</w:t>
            </w:r>
          </w:p>
        </w:tc>
        <w:tc>
          <w:tcPr>
            <w:tcW w:w="0" w:type="dxa"/>
            <w:vAlign w:val="bottom"/>
          </w:tcPr>
          <w:p>
            <w:pPr>
              <w:spacing w:after="0"/>
              <w:rPr>
                <w:sz w:val="1"/>
                <w:szCs w:val="1"/>
                <w:color w:val="auto"/>
              </w:rPr>
            </w:pP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38,674</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intangibles, net</w:t>
            </w:r>
          </w:p>
        </w:tc>
        <w:tc>
          <w:tcPr>
            <w:tcW w:w="4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31,384</w:t>
            </w:r>
          </w:p>
        </w:tc>
        <w:tc>
          <w:tcPr>
            <w:tcW w:w="0" w:type="dxa"/>
            <w:vAlign w:val="bottom"/>
          </w:tcPr>
          <w:p>
            <w:pPr>
              <w:spacing w:after="0"/>
              <w:rPr>
                <w:sz w:val="1"/>
                <w:szCs w:val="1"/>
                <w:color w:val="auto"/>
              </w:rPr>
            </w:pPr>
          </w:p>
        </w:tc>
      </w:tr>
      <w:tr>
        <w:trPr>
          <w:trHeight w:val="22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3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6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792,397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762,798</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center"/>
              <w:ind w:right="370"/>
              <w:spacing w:after="0"/>
              <w:rPr>
                <w:sz w:val="20"/>
                <w:szCs w:val="20"/>
                <w:color w:val="auto"/>
              </w:rPr>
            </w:pPr>
            <w:r>
              <w:rPr>
                <w:rFonts w:ascii="Times New Roman" w:cs="Times New Roman" w:eastAsia="Times New Roman" w:hAnsi="Times New Roman"/>
                <w:sz w:val="18"/>
                <w:szCs w:val="18"/>
                <w:color w:val="auto"/>
                <w:w w:val="99"/>
              </w:rPr>
              <w:t>60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84"/>
        </w:trPr>
        <w:tc>
          <w:tcPr>
            <w:tcW w:w="1280" w:type="dxa"/>
            <w:vAlign w:val="bottom"/>
            <w:tcBorders>
              <w:top w:val="single" w:sz="8" w:color="0000FF"/>
            </w:tcBorders>
          </w:tcPr>
          <w:p>
            <w:pPr>
              <w:spacing w:after="0"/>
              <w:rPr>
                <w:sz w:val="24"/>
                <w:szCs w:val="24"/>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Times New Roman" w:cs="Times New Roman" w:eastAsia="Times New Roman" w:hAnsi="Times New Roman"/>
                <w:sz w:val="18"/>
                <w:szCs w:val="18"/>
                <w:i w:val="1"/>
                <w:iCs w:val="1"/>
                <w:color w:val="auto"/>
                <w:w w:val="99"/>
              </w:rPr>
              <w:t>In Thousands,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69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0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180" w:type="dxa"/>
            <w:vAlign w:val="bottom"/>
            <w:gridSpan w:val="2"/>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procurement fees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57,862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49,675</w:t>
            </w: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305,531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306,499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40,400</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maturities of operating leases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41,257</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compensation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finance lease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510,617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478,469</w:t>
            </w: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6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180" w:type="dxa"/>
            <w:vAlign w:val="bottom"/>
            <w:gridSpan w:val="2"/>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180" w:type="dxa"/>
            <w:vAlign w:val="bottom"/>
            <w:gridSpan w:val="2"/>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per share, 5,000 shares authorized, no shares issued</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8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per share, 75,000 shares authorized, 42,569 and 41,830 shares issued as of</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and 2022, respectively</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355,919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 1,487 shares as of December 31, 2023 and 2022</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281,780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284,329</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792,397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762,798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8180" w:type="dxa"/>
            <w:vAlign w:val="bottom"/>
            <w:gridSpan w:val="2"/>
          </w:tcPr>
          <w:p>
            <w:pPr>
              <w:jc w:val="center"/>
              <w:ind w:left="2990"/>
              <w:spacing w:after="0"/>
              <w:rPr>
                <w:sz w:val="20"/>
                <w:szCs w:val="20"/>
                <w:color w:val="auto"/>
              </w:rPr>
            </w:pPr>
            <w:r>
              <w:rPr>
                <w:rFonts w:ascii="Times New Roman" w:cs="Times New Roman" w:eastAsia="Times New Roman" w:hAnsi="Times New Roman"/>
                <w:sz w:val="18"/>
                <w:szCs w:val="18"/>
                <w:color w:val="auto"/>
                <w:w w:val="99"/>
              </w:rPr>
              <w:t>61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6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230,353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221,597</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77,239</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298,836</w:t>
            </w: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65,196</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36,126</w:t>
            </w:r>
          </w:p>
        </w:tc>
      </w:tr>
      <w:tr>
        <w:trPr>
          <w:trHeight w:val="22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cost of products and preservation 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101,322</w:t>
            </w: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229,176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197,514</w:t>
            </w: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marketing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169,774</w:t>
            </w: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35,546</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237,684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196,322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205,320</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from sale of non-financial assets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(15,923)</w:t>
            </w:r>
          </w:p>
        </w:tc>
      </w:tr>
      <w:tr>
        <w:trPr>
          <w:trHeight w:val="223"/>
        </w:trPr>
        <w:tc>
          <w:tcPr>
            <w:tcW w:w="6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8,117</w:t>
            </w: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w:t>
            </w: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(14,984)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(14,827)</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4"/>
        </w:trPr>
        <w:tc>
          <w:tcPr>
            <w:tcW w:w="6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(0.38)</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38,983</w:t>
            </w: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38,983</w:t>
            </w:r>
          </w:p>
        </w:tc>
      </w:tr>
      <w:tr>
        <w:trPr>
          <w:trHeight w:val="257"/>
        </w:trPr>
        <w:tc>
          <w:tcPr>
            <w:tcW w:w="6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(14,834)</w:t>
            </w: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(16,630)</w:t>
            </w: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(21,091)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(30,914)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(31,464)</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80" w:type="dxa"/>
            <w:vAlign w:val="bottom"/>
            <w:tcBorders>
              <w:bottom w:val="single" w:sz="8" w:color="auto"/>
            </w:tcBorders>
          </w:tcPr>
          <w:p>
            <w:pPr>
              <w:spacing w:after="0"/>
              <w:rPr>
                <w:sz w:val="20"/>
                <w:szCs w:val="20"/>
                <w:color w:val="auto"/>
              </w:rPr>
            </w:pPr>
          </w:p>
        </w:tc>
      </w:tr>
      <w:tr>
        <w:trPr>
          <w:trHeight w:val="228"/>
        </w:trPr>
        <w:tc>
          <w:tcPr>
            <w:tcW w:w="6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144"/>
        </w:trPr>
        <w:tc>
          <w:tcPr>
            <w:tcW w:w="6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(30,690)</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(19,192)</w:t>
            </w:r>
          </w:p>
        </w:tc>
        <w:tc>
          <w:tcPr>
            <w:tcW w:w="10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(14,834)</w:t>
            </w:r>
          </w:p>
        </w:tc>
      </w:tr>
      <w:tr>
        <w:trPr>
          <w:trHeight w:val="166"/>
        </w:trPr>
        <w:tc>
          <w:tcPr>
            <w:tcW w:w="6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26"/>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from operating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8,870</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23,977</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compensation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10,711</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Non-cash lease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7,521</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Fair value adjustment of long-term loan</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Write-down of inventories and deferred preservation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5,377</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Non-cash interest expense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Write-off of Endospan Option</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income taxes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(4,470)</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Gain on sale of non-financial assets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(15,923)</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r>
      <w:tr>
        <w:trPr>
          <w:trHeight w:val="162"/>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Receivables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(11,560)</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Inventories and deferred preservation costs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(14,360)</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(18,375)</w:t>
            </w:r>
          </w:p>
        </w:tc>
      </w:tr>
      <w:tr>
        <w:trPr>
          <w:trHeight w:val="221"/>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Net cash flows provided by (used in)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18,825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(2,585)</w:t>
            </w:r>
          </w:p>
        </w:tc>
      </w:tr>
      <w:tr>
        <w:trPr>
          <w:trHeight w:val="144"/>
        </w:trPr>
        <w:tc>
          <w:tcPr>
            <w:tcW w:w="6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28"/>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1"/>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sale of non-financial assets, net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19,000</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for Endospan agreement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expenditures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(13,091)</w:t>
            </w:r>
          </w:p>
        </w:tc>
      </w:tr>
      <w:tr>
        <w:trPr>
          <w:trHeight w:val="226"/>
        </w:trPr>
        <w:tc>
          <w:tcPr>
            <w:tcW w:w="6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(249)</w:t>
            </w:r>
          </w:p>
        </w:tc>
      </w:tr>
      <w:tr>
        <w:trPr>
          <w:trHeight w:val="225"/>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Net cash flows (used in) provided by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(10,715)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5,660</w:t>
            </w:r>
          </w:p>
        </w:tc>
      </w:tr>
      <w:tr>
        <w:trPr>
          <w:trHeight w:val="144"/>
        </w:trPr>
        <w:tc>
          <w:tcPr>
            <w:tcW w:w="6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flows from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exercise of stock options and issuance of common stock</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3,756</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financing insurance premiums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3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(8,200)</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and repurchase of stock to cover tax withholdings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(1,914)</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Principal payments on short-term notes payable</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26"/>
        </w:trPr>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Repayment of debt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w:t>
            </w:r>
          </w:p>
        </w:tc>
      </w:tr>
      <w:tr>
        <w:trPr>
          <w:trHeight w:val="23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21"/>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Net cash flows provided by (used in)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(12,223)</w:t>
            </w:r>
          </w:p>
        </w:tc>
      </w:tr>
      <w:tr>
        <w:trPr>
          <w:trHeight w:val="144"/>
        </w:trPr>
        <w:tc>
          <w:tcPr>
            <w:tcW w:w="68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226"/>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2,200</w:t>
            </w:r>
          </w:p>
        </w:tc>
      </w:tr>
      <w:tr>
        <w:trPr>
          <w:trHeight w:val="227"/>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b w:val="1"/>
                <w:bCs w:val="1"/>
                <w:color w:val="auto"/>
              </w:rPr>
              <w:t>Increase (decrease)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19,589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(6,948)</w:t>
            </w:r>
          </w:p>
        </w:tc>
      </w:tr>
      <w:tr>
        <w:trPr>
          <w:trHeight w:val="162"/>
        </w:trPr>
        <w:tc>
          <w:tcPr>
            <w:tcW w:w="6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2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61,958</w:t>
            </w:r>
          </w:p>
        </w:tc>
      </w:tr>
      <w:tr>
        <w:trPr>
          <w:trHeight w:val="227"/>
        </w:trPr>
        <w:tc>
          <w:tcPr>
            <w:tcW w:w="68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58,940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39,351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55,010</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3"/>
                <w:szCs w:val="13"/>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720" w:type="dxa"/>
            <w:vAlign w:val="bottom"/>
            <w:gridSpan w:val="4"/>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740" w:type="dxa"/>
            <w:vAlign w:val="bottom"/>
            <w:gridSpan w:val="4"/>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Paid In</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7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4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40,394</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w:t>
            </w:r>
          </w:p>
        </w:tc>
        <w:tc>
          <w:tcPr>
            <w:tcW w:w="22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316,192</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20,022</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6,743</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(1,487)</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(14,648)</w:t>
            </w:r>
          </w:p>
        </w:tc>
        <w:tc>
          <w:tcPr>
            <w:tcW w:w="260" w:type="dxa"/>
            <w:vAlign w:val="bottom"/>
            <w:tcBorders>
              <w:top w:val="single" w:sz="8" w:color="CCEEFF"/>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328,713</w:t>
            </w:r>
          </w:p>
        </w:tc>
        <w:tc>
          <w:tcPr>
            <w:tcW w:w="0" w:type="dxa"/>
            <w:vAlign w:val="bottom"/>
          </w:tcPr>
          <w:p>
            <w:pPr>
              <w:spacing w:after="0"/>
              <w:rPr>
                <w:sz w:val="1"/>
                <w:szCs w:val="1"/>
                <w:color w:val="auto"/>
              </w:rPr>
            </w:pPr>
          </w:p>
        </w:tc>
      </w:tr>
      <w:tr>
        <w:trPr>
          <w:trHeight w:val="207"/>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(14,834)</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(16,630)</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issued for contingent consideration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Adoption of ASU 2020-06</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(19,639)</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2,146</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Redemption and repurchase of stock to cover tax</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withholdings</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41,397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322,874</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(9,887)</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(1,487)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(14,648)</w:t>
            </w:r>
          </w:p>
        </w:tc>
        <w:tc>
          <w:tcPr>
            <w:tcW w:w="2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300,728</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(11,722)</w:t>
            </w:r>
          </w:p>
        </w:tc>
        <w:tc>
          <w:tcPr>
            <w:tcW w:w="8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(11,722)</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 of 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0" w:type="dxa"/>
            <w:vAlign w:val="bottom"/>
          </w:tcPr>
          <w:p>
            <w:pPr>
              <w:spacing w:after="0"/>
              <w:rPr>
                <w:sz w:val="1"/>
                <w:szCs w:val="1"/>
                <w:color w:val="auto"/>
              </w:rPr>
            </w:pPr>
          </w:p>
        </w:tc>
      </w:tr>
      <w:tr>
        <w:trPr>
          <w:trHeight w:val="162"/>
        </w:trPr>
        <w:tc>
          <w:tcPr>
            <w:tcW w:w="3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Redemption and repurchase of stock to cover tax</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(1,795)</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withholdings</w:t>
            </w: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41,830</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418</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337,385</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(17,217)</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(21,609)</w:t>
            </w: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b w:val="1"/>
                <w:bCs w:val="1"/>
                <w:color w:val="auto"/>
              </w:rPr>
              <w:t>(1,487)</w:t>
            </w:r>
          </w:p>
        </w:tc>
        <w:tc>
          <w:tcPr>
            <w:tcW w:w="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(14,648)</w:t>
            </w:r>
          </w:p>
        </w:tc>
        <w:tc>
          <w:tcPr>
            <w:tcW w:w="260" w:type="dxa"/>
            <w:vAlign w:val="bottom"/>
            <w:tcBorders>
              <w:bottom w:val="single" w:sz="8" w:color="auto"/>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284,329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700" w:type="dxa"/>
            <w:vAlign w:val="bottom"/>
            <w:vMerge w:val="continue"/>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(30,690)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9,599</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Exercise of options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0" w:type="dxa"/>
            <w:vAlign w:val="bottom"/>
          </w:tcPr>
          <w:p>
            <w:pPr>
              <w:spacing w:after="0"/>
              <w:rPr>
                <w:sz w:val="1"/>
                <w:szCs w:val="1"/>
                <w:color w:val="auto"/>
              </w:rPr>
            </w:pPr>
          </w:p>
        </w:tc>
      </w:tr>
      <w:tr>
        <w:trPr>
          <w:trHeight w:val="165"/>
        </w:trPr>
        <w:tc>
          <w:tcPr>
            <w:tcW w:w="37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Redemption and repurchase of stock to cover tax</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withholdings</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vMerge w:val="continue"/>
            <w:shd w:val="clear" w:color="auto" w:fill="CCEEFF"/>
          </w:tcPr>
          <w:p>
            <w:pPr>
              <w:spacing w:after="0"/>
              <w:rPr>
                <w:sz w:val="18"/>
                <w:szCs w:val="18"/>
                <w:color w:val="auto"/>
              </w:rPr>
            </w:pPr>
          </w:p>
        </w:tc>
        <w:tc>
          <w:tcPr>
            <w:tcW w:w="900" w:type="dxa"/>
            <w:vAlign w:val="bottom"/>
            <w:tcBorders>
              <w:bottom w:val="single" w:sz="8" w:color="auto"/>
            </w:tcBorders>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42,569</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w:t>
            </w: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355,919</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(47,907)</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(12,010)</w:t>
            </w: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(1,487)</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(14,648)</w:t>
            </w:r>
          </w:p>
        </w:tc>
        <w:tc>
          <w:tcPr>
            <w:tcW w:w="2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281,780</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Artivion,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17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Artivion, Inc. (“Artivion,” the “Company,” “we,” or “us”), is a leader in the manufacturing, processing, and distribution of medical devices and implantable human tissues used in cardiac and vascular surgical procedures for patients with aortic disease. We have four major product families: aortic stent grafts, surgical sealants, On-X mechanical heart valves and related surgical products (“On-X” products), and implantable cardiac and vascular human tissues. Aortic stent grafts include aortic arch stent grafts, abdominal stent grafts, and synthetic vascular grafts. Aortic arch stent grafts include our E-vita Open NEO, E-vita Open Plus, the Ascyrus Medical Dissection Stent (“AMDS”) hybrid prosthesis, the NEXUS endovascular stent graft system (“NEXUS”), the NEXUS DUO</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aortic arch stent graft (“NEXUS DUO”), and E-vita Thoracic 3G products. Abdominal stent grafts include our E-xtra Design Engineering (including Artivex), E-nside, E-tegra, E-ventus BX, and E-liac products. Surgical sealants include our BioGlue Surgical Adhesive products (“BioGlue”). In addition to these four major product families, we sell or distribute PhotoFix bovine surgical patches (“PhotoFix”) and CardioGenesis cardiac laser therapy (prior to our abandonment of the business as of June 30, 2023). We began to manufacture and supply PerClot hemostatic powder (“PerClot”) during the second quarter of 2023 (as part of the Transitional Manufacturing and Supply Agreement (“TMSA”) of the Baxter Transaction, described below).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The accompanying consolidated financial statements include the accounts of the Company and our wholly-owned subsidiaries. All significant intercompany accounts and transactions have been eliminated in consolidation. Certain prior-year amounts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revenues and expenses transacted in foreign currencies are remeasured as they occur at exchange rates in effect at the time of each transaction. Realized and unrealized gains and losses on foreign currency transactions are recorded as a component of Other expense, net on our Consolidated Statements of Operations and Comprehensive Loss. Realized and unrealized gains and losses were a gain of $2.1 million, a loss of $3.1 million, and a loss of $5.5 million for the years ended December 31, 2023, 2022, and 2021, respectively. Our assets and liabilities denominated in foreign currencies are recognized at the exchange rate in effect at the time of each transaction. At period end, the assets and liabilities are translated at the exchange rate in effect as of the balance sheet date and are recorded as a separate component of Accumulated other comprehensive loss in the shareholders' equity section of our Consolidated Balance Sheets.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accompanying consolidated financial statements in conformity with US GAAP requires us to make estimates and assumptions that affect the reported amounts of assets and liabilities, the disclosure of contingent liabilities at the date of the financial statements, and the reported amounts of revenues and expenses during the reporting periods. Actual results could differ from those estimates. Estimates and assumptions are used when accounting for allowance for doubtful accounts, inventory, deferred preservation costs, acquired assets or businesses, intangible assets, deferred income taxes, commitments and contingencies (including product and tissue processing liability claims, claims incurred but not reported, and amounts recoverable from insurance companies), stock based compensation, certain accrued liabilities (including accrued procurement fees, income taxes, and financial instruments including contingent consideration), and other items as appropriate.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 with Customers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enter into contracts with customers that include general commercial terms and conditions, notification requirements for price increases, shipping terms and, in most cases, prices for the products and services that we offer. These agreements, however, do not obligate us to provide goods or services to the customer, and there is no consideration promised to us at the onset of these arrangements. For customers without separate agreements, we have a standard list price established by geography and by currency for all products and services, and our invoices contain standard terms and conditions that are applicable to those customers where a separate agreement is not controlling. Our performance obligations are established when a customer submits a purchase order notification (in writing, electronically or verbally) for goods and services, and we accept the order. We identify performance obligations as the delivery of the requested product or service in appropriate quantities and to the location specified in the customer’s contract and/or purchase order. We generally recognize revenue upon the satisfaction of these criteria when control of the product or service has been transferred to the customer at which time we have an unconditional right to receive payment. Our prices are fixed and are not affected by contingent events that could impact the transaction price. We do not offer price concessions and do not accept payment that is less than the price stated when we accept the purchase order. We do not have any material performance obligations where we are acting as an agent for another entity.</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Revenues for products, including: </w:t>
      </w:r>
      <w:r>
        <w:rPr>
          <w:rFonts w:ascii="Times New Roman" w:cs="Times New Roman" w:eastAsia="Times New Roman" w:hAnsi="Times New Roman"/>
          <w:sz w:val="18"/>
          <w:szCs w:val="18"/>
          <w:color w:val="212529"/>
        </w:rPr>
        <w:t>a</w:t>
      </w:r>
      <w:r>
        <w:rPr>
          <w:rFonts w:ascii="Times New Roman" w:cs="Times New Roman" w:eastAsia="Times New Roman" w:hAnsi="Times New Roman"/>
          <w:sz w:val="18"/>
          <w:szCs w:val="18"/>
          <w:color w:val="auto"/>
        </w:rPr>
        <w:t>ortic stent grafts, surgical sealants, On-X products, and other medical devices, are typically recognized at the time the product is shipped, at which time the title passes to the customer, and there are no further performance obligations. Revenues from consignment are recognized when we receive a notification of implantation. We recognize revenues for preservation services when tissue is shipped to the customer.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in the Application of the Guidance in ASC 606</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significant judgments associated with the satisfaction of our performance obligations. We generally satisfy performance obligations upon shipment of the product or service obligation to the customer. This is consistent with the time in which the customer obtains control of the product or service. Performance obligations are also generally settled quickly after the purchase order acceptance, therefore, the value of unsatisfied performance obligations at the end of any reporting period is immaterial.</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variable consideration in establishing the transaction price. Forms of variable consideration potentially applicable to our arrangements include sales returns, rebates, volume-based bonuses, and prompt pay discounts. We use historical information along with an analysis of the expected value to properly calculate and to consider the need to constrain estimates of variable consideration. Such amounts are included as a reduction to revenue from the sale of products and services in the periods in which the related revenue is recognized and adjusted in future periods as necessary.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Contract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commissions are earned upon completion of each performance obligation, and therefore, are expensed when incurred. These costs are included in General, administrative, and marketing expenses in the Consolidated Statements of Operations and Comprehensive Loss. We generally do not incur incremental charges associated with securing agreements with customers which would require capitalization and recovery over the life of the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payment terms for sales direct to customers are substantially less than the one-year collection period that falls within the practical expedient in the determination of whether a significant financing component exists.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Charges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Fees charged to customers for shipping and handling of products and tissues are included in product and preservation service revenues. The costs for shipping and handling of products and tissues are included as a component of cost of products and cost of preservation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Collected from Customers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030303"/>
        </w:rPr>
        <w:t xml:space="preserve">Taxes </w:t>
      </w:r>
      <w:r>
        <w:rPr>
          <w:rFonts w:ascii="Times New Roman" w:cs="Times New Roman" w:eastAsia="Times New Roman" w:hAnsi="Times New Roman"/>
          <w:sz w:val="18"/>
          <w:szCs w:val="18"/>
          <w:color w:val="000000"/>
        </w:rPr>
        <w:t>collected on the value of transaction revenue</w:t>
      </w:r>
      <w:r>
        <w:rPr>
          <w:rFonts w:ascii="Times New Roman" w:cs="Times New Roman" w:eastAsia="Times New Roman" w:hAnsi="Times New Roman"/>
          <w:sz w:val="18"/>
          <w:szCs w:val="18"/>
          <w:color w:val="030303"/>
        </w:rPr>
        <w:t xml:space="preserve"> are excluded from product and service revenues and cost of sales </w:t>
      </w:r>
      <w:r>
        <w:rPr>
          <w:rFonts w:ascii="Times New Roman" w:cs="Times New Roman" w:eastAsia="Times New Roman" w:hAnsi="Times New Roman"/>
          <w:sz w:val="18"/>
          <w:szCs w:val="18"/>
          <w:color w:val="000000"/>
        </w:rPr>
        <w:t>and are accrued in current liabilities</w:t>
      </w:r>
      <w:r>
        <w:rPr>
          <w:rFonts w:ascii="Times New Roman" w:cs="Times New Roman" w:eastAsia="Times New Roman" w:hAnsi="Times New Roman"/>
          <w:sz w:val="18"/>
          <w:szCs w:val="18"/>
          <w:color w:val="030303"/>
        </w:rPr>
        <w:t xml:space="preserve"> </w:t>
      </w:r>
      <w:r>
        <w:rPr>
          <w:rFonts w:ascii="Times New Roman" w:cs="Times New Roman" w:eastAsia="Times New Roman" w:hAnsi="Times New Roman"/>
          <w:sz w:val="18"/>
          <w:szCs w:val="18"/>
          <w:color w:val="000000"/>
        </w:rPr>
        <w:t>until remitted to governmental authorities</w:t>
      </w:r>
      <w:r>
        <w:rPr>
          <w:rFonts w:ascii="Times New Roman" w:cs="Times New Roman" w:eastAsia="Times New Roman" w:hAnsi="Times New Roman"/>
          <w:sz w:val="18"/>
          <w:szCs w:val="18"/>
          <w:color w:val="030303"/>
        </w:rPr>
        <w: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costs to develop, produce, and communicate our advertising are expensed as incurred and are classified as General, administrative, and marketing expenses. The total amount of advertising expense included in our Consolidated Statements of Operations and Comprehensive Loss was $1.9 million, $1.6 million, and $1.0 million for the years ended December 31, 2023, 2022, and 2021,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stock option and stock incentive plans for employees and non-employee directors that provide for grants of restricted stock awards (“RSA”s), restricted stock units (“RSU”s), performance stock units (“PSU”s), and options to purchase shares of our common stock at exercise prices generally equal to the fair values of such stock at the dates of grant. We also maintain a shareholder approved Employee Stock Purchase Plan (the “ESPP”) for the benefit of our employees. The ESPP allows eligible employees the right to purchase common stock on a regular basis at the lower of 85% of the market price at the beginning or end of each offering period. The RSAs, RSUs, PSUs, and stock options granted by us typically vest over a one to three-year period. The stock options granted by us typically expire within seven years of the grant date.</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value our RSAs, RSUs, and PSUs based on the stock price on the date of grant. We expense the related compensation cost of RSAs and RSUs using the straight-line method over the vesting period. We expense the related compensation cost of PSUs based on the number of shares expected to be issued, if achievement of the performance component is probable, using a straight-line method over each vesting tranche of the award which results in accelerated recognition of expenses. The amount of compensation costs expensed related to PSUs is adjusted as needed if we deem that achievement of the performance component is no longer probable or if our expectation of the number of shares to be issued changes. We use a Black-Scholes model to value our stock option grants and expense the related compensation cost using the straight-line method over the vesting period. The fair value of our ESPP options is also determined using a Black-Scholes model and is expensed over the vesting period.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stock options and ESPP options is determined on the grant date using assumptions for the expected term, volatility, dividend yield, and the risk-free interest rate. The expected term is primarily based on the contractual term of the option and our data related to historic exercise and post-vesting forfeiture patterns, which is adjusted based on our expectations of future results. Our anticipated volatility level is primarily based on the historic volatility of our common stock, adjusted to remove the effects of certain periods of unusual volatility not expected to recur, and adjusted based on our expectations of future volatility, for the life of the option or option group. Our model includes a zero-dividend yield assumption and we do not anticipate paying dividends in the future. The risk-free interest rate is based on recent US Treasury note auction results with a similar life to that of the option. Our model does not include a discount for post-vesting restrictions, as we have not issued awards with such restrictions.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period expense for our stock compensation is determined based on the valuations discussed above and forfeitures are accounted for in the period awards are forfeited.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Accumulated other comprehensive loss is defined as the change in equity of a business enterprise during a period from transactions and other events and circumstances from non-owner sources. The Other comprehensive income/loss, net of tax for the years presented includes foreign currency cumulative translation adjustment and unrealized gain/loss from intra-entity foreign currency loans that are of long term investment nature with no specific repayment terms. The unrealized gains from foreign currency intra-entity loans that are of long term investment nature were $2.7 million and $9.1 million for the years</w:t>
      </w:r>
    </w:p>
    <w:p>
      <w:pPr>
        <w:spacing w:after="0" w:line="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ended December 31, 2023 and 2021, respectively. The unrealized loss from foreign currency intra-entity loans that are of long term investment nature was $6.4 million for the year ended December 31,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Per Common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Income per common share is computed using the two-class method, which requires us to include unvested RSAs that contain non-forfeitable rights to dividends (whether paid or unpaid) as participating securities in the income per common share calculation.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two-class method, net income is allocated to the weighted-average number of common shares outstanding during the period and the weighted-average participating securities outstanding during the period. The portion of net income that is allocated to the participating securities is excluded from basic and dilutive net income per common share. Diluted net income per share is computed using the weighted-average number of common shares outstanding plus the dilutive effects of outstanding stock options and awards and other dilutive instruments as appropriate.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instruments include cash equivalents, accounts receivable, notes receivable, accounts payable, and debt obligations. The financial assets’ and liabilities’, such as receivables and accounts payable, carrying values approximate their fair value due to their short-term duration, and the carrying value of their debt obligations approximate fair value as they contain variable interest rates that approximate market values. Other financial instruments are recorded as discussed in the sections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certain financial instruments, including cash equivalents, at fair value on a recurring basis. We may make an irrevocable election to measure other financial instruments at fair value on an instrument-by-instrument basis. Fair value financial instruments are recorded in accordance with the fair value measurement framework.</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measure certain assets and liabilities at fair value on a non-recurring basis. These non-recurring valuations include evaluating assets such as certain financial assets, long-lived assets, and indefinite lived intangible assets for impairment, allocating value to assets in an acquired asset group, applying accounting for business combinations, and the initial recognition of liabilities such as contingent consideration. We use the fair value measurement framework to value these assets and liabilities and report these fair values in the periods in which they are recorded or written down.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measurement framework includes a fair value hierarchy that prioritizes observable and unobservable inputs used to measure fair values in their broad levels. These levels from highest to lowest priority are as follows:</w:t>
      </w:r>
    </w:p>
    <w:p>
      <w:pPr>
        <w:spacing w:after="0" w:line="13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identical assets or liabilities;</w:t>
      </w:r>
    </w:p>
    <w:p>
      <w:pPr>
        <w:spacing w:after="0" w:line="27" w:lineRule="exact"/>
        <w:rPr>
          <w:rFonts w:ascii="Times New Roman" w:cs="Times New Roman" w:eastAsia="Times New Roman" w:hAnsi="Times New Roman"/>
          <w:sz w:val="18"/>
          <w:szCs w:val="18"/>
          <w:color w:val="auto"/>
        </w:rPr>
      </w:pPr>
    </w:p>
    <w:p>
      <w:pPr>
        <w:ind w:left="660" w:right="120" w:hanging="328"/>
        <w:spacing w:after="0" w:line="250"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Quoted prices in active markets for similar assets or liabilities or observable prices that are based on inputs not quoted in active markets, but corroborated by market data; and</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or valuation techniques that are used when little or no market data is available.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of fair value and the assessment of a measurement’s placement within the hierarchy requires judgment. Level 3 valuations often involve a higher degree of judgment and complexity. Level 3 valuations may require the use of various cost, market, or income valuation methodologies applied to our unobservable estimates and assumptions. Our assumptions could vary depending on the asset or liability value and the valuation method used. Such assumptions could include: estimates of prices, earnings, costs, actions of market participants, market factors, or the weighting of various valuation methods. We may also engage external advisors to assist in determining fair value as appropriate.</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we believe that the recorded fair values of our financial instruments are appropriate, these fair values may not be indicative of net realizable value or reflective of future fair values.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 Contingent Consideration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Contingent consideration represents a recurring fair value estimate of potential future payments. The fair value of the contingent consideration liability is estimated by discounting to present value the contingent payments expected to be made based on a probability-weighted scenario approach. A discount rate is applied based on our unsecured credit spread and the term commensurate risk-free rate to the additional consideration to be paid, and then we apply a risk-based estimate of the probability of achieving each scenario to calculate the fair value of the contingent consideration. This fair value measurement is based on unobservable inputs, including management estimates and assumptions about the future achievement of milestones and future estimate of revenues, and is, therefore, classified as Level 3 within the fair value hierarchy.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and cash equivalents consist primarily of highly liquid investments at the time of acquisition. The carrying value of cash equivalents approximates fair value. We maintain depository accounts with certain financial institutions. Although these depository accounts may exceed government insured depository limits, we have evaluated the credit worthiness of these applicable financial institutions and determined the risk of material financial loss due to the exposure of such credit risk to be minimal.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Supplemental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for the years ended December 31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14,407</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w:t>
            </w:r>
          </w:p>
        </w:tc>
      </w:tr>
      <w:tr>
        <w:trPr>
          <w:trHeight w:val="270"/>
        </w:trPr>
        <w:tc>
          <w:tcPr>
            <w:tcW w:w="6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31,726</w:t>
            </w:r>
          </w:p>
        </w:tc>
      </w:tr>
      <w:tr>
        <w:trPr>
          <w:trHeight w:val="23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stock for contingent consideration</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accounts receivable are primarily from hospitals and distributors that either use or distribute our products and tissues. We assess the likelihood of collection based on a number of factors, including past transaction history and the credit worthiness of the customer, as well as the potential increased risks related to international customers and large distributors. We determine the allowance for doubtful accounts based upon specific reserves for known collection issues, as well as a non-specific reserve based upon aging buckets. We charge off uncollectible amounts against the reserve in the period in which we determine they are uncollectible. Our accounts receivable balances are reported net of allowance for doubtful accounts of $1.9 million and $1.3 million as of December 31, 2023 and 2022,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Inventories, net are comprised of finished goods for our product lines including: </w:t>
      </w:r>
      <w:r>
        <w:rPr>
          <w:rFonts w:ascii="Times New Roman" w:cs="Times New Roman" w:eastAsia="Times New Roman" w:hAnsi="Times New Roman"/>
          <w:sz w:val="18"/>
          <w:szCs w:val="18"/>
          <w:color w:val="212529"/>
        </w:rPr>
        <w:t>a</w:t>
      </w:r>
      <w:r>
        <w:rPr>
          <w:rFonts w:ascii="Times New Roman" w:cs="Times New Roman" w:eastAsia="Times New Roman" w:hAnsi="Times New Roman"/>
          <w:sz w:val="18"/>
          <w:szCs w:val="18"/>
          <w:color w:val="auto"/>
        </w:rPr>
        <w:t>ortic stent grafts; surgical sealants; On-X products; other medical devices; work-in-process; and raw materials. Inventories for finished goods are valued at the lower of cost or net realizable value on a first-in, first-out basis and raw materials are valued on a moving average cost basis. Typically, upon shipment or upon notification of implant of a medical device on consignment, revenue is recognized, and the related inventory costs are expensed as cost of products. Cost of products also includes, as applicable, lower of cost or net realizable value of write-downs and impairments for products not deemed to be recoverable and, as incurred, idle facility expense, excessive spoilage, extra freight, and re-handling costs.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costs for manufactured products consist primarily of direct labor and materials (including salary and fringe benefits, raw materials, and supplies) and indirect costs (including allocations of costs from departments that support manufacturing activities and facility allocations). The allocation of fixed production overhead costs is based on actual production levels, to the extent that they are within the range of the facility’s normal capacity. Inventory costs for products purchased for resale or manufactured under contract consist primarily of the purchase cost, freight-in charges, and indirect costs as appropriate.</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regularly evaluate our inventory to determine if the costs are appropriately recorded at the lower of cost or net realizable value. We also evaluate our inventory for costs not deemed to be recoverable, including inventory not expected to ship prior to its expiration. Lower of cost or net realizable value write-downs are recorded if the book value exceeds the estimated net realizable value of the inventory, based on recent sales prices at the time of the evaluation. Impairment write-downs are recorded based on the book value of inventory deemed to be impaired. Actual results may differ from these estimates. Write-downs of inventory are expensed as cost of products, and these write-downs are permanent impairments that create a new cost basis, which cannot be restored to its previous levels if our estimates change.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write-downs to our inventory totaling $4.4 million, $4.0 million, and $4.8 million for the years ended December 31, 2023, 2022, and 2021, respectively. The 2023 write-downs were primarily related to raw materials, aortic stent grafts inventory, and On-X ascending aortic prosthesis (“AAP”) inventory. The 2022 and 2021 write-downs were primarily related to aortic stent grafts inventory and On-X AAP inventory.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Preservation Costs, net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preservation costs include costs of cardiac and vascular tissues available for shipment, tissues currently in active processing, and tissues held in quarantine pending release to implantable status. By federal law, human tissues cannot be bought or sold; therefore, the tissues we preserve are not held as inventory. The costs we incur to procure and process cardiac and vascular tissues are instead accumulated and deferred. Deferred preservation costs are stated at the lower of cost or net realizable value on a first-in, first-out basis and are deferred until revenue is recognized. Upon shipment of tissue to an implanting facility, revenue is recognized, and the related deferred preservation costs are expensed as cost of preservation services. Cost of preservation services also includes, as applicable, lower of cost or net realizable value write-downs and impairments for tissues not deemed to be recoverable, and includes, as incurred, excessive spoilage, extra freight, and re-handling costs.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calculation of deferred preservation costs involves judgment and complexity and uses the same principles as inventory costing. Donated human tissue is procured from deceased human donors by organ and tissue procurement organizations (“OPOs”) and tissue banks that provide the tissue to us for processing, preservation, and distribution. Deferred preservation costs consist primarily of the procurement fees charged by the OPOs and tissue banks, direct labor and materials (including salary and fringe benefits, laboratory supplies and expenses, and freight-in charges), and indirect costs (including allocations of costs from support departments and facility allocations). Fixed production overhead costs are allocated based on actual tissue processing levels, to the extent that they are within the range of the facility’s normal capacity.</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costs are then allocated among the tissues processed during the period based on cost drivers, such as the number of donors or number of tissues processed. We apply a yield estimate to all tissues in process and in quarantine to estimate the portion of tissues that will ultimately become implantable. We estimate quarantine and in process yields based on our historical yield experience with similar tissues and re-evaluate these estimates periodically. Actual yields could differ significantly from our estimates, which could result in a change in tissues available for shipment and could increase or decrease the balance of deferred preservation costs. These changes could result in additional cost of preservation services expense or could increase per tissue preservation costs, which would impact gross margins on tissue preservation services in future periods.</w:t>
      </w:r>
    </w:p>
    <w:p>
      <w:pPr>
        <w:spacing w:after="0" w:line="1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regularly evaluate our deferred preservation costs to determine if the costs are appropriately recorded at the lower of cost or net realizable value. We also evaluate our deferred preservation costs for costs not deemed to be recoverable, including tissues not expected to ship prior to the expiration date of their packaging. Lower of cost or net realizable value write-downs are recorded if the tissue processing costs incurred exceed the estimated market value of the tissue services, based on recent average service fees at the time of the evaluation. Impairment write-downs are recorded based on the book value of tissues deemed to be impaired. Actual results may differ from these estimates. Write-downs of deferred preservation costs are expensed as cost of preservation services, and these write-downs are permanent impairments that create a new cost basis, which cannot be restored to its previous levels if our estimates change.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write-downs to our deferred preservation costs totaling $393,000, $369,000, and $575,000 for the years ended December 31, 2023, 2022, and 2021, respectively, primarily due to tissues not expected to ship prior to the expiration date of the packaging.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net is stated at cost less depreciation. Depreciation expense is recorded over the estimated useful lives of the assets, generally three to ten years, on a straight-line basis. Leasehold improvements are amortized on a straight-line basis over the remaining lease term at the time the assets are capitalized or the estimated useful lives of the assets, whichever is shorter.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balance for the years ended December 31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and software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7,148</w:t>
            </w:r>
          </w:p>
        </w:tc>
        <w:tc>
          <w:tcPr>
            <w:tcW w:w="0" w:type="dxa"/>
            <w:vAlign w:val="bottom"/>
          </w:tcPr>
          <w:p>
            <w:pPr>
              <w:spacing w:after="0"/>
              <w:rPr>
                <w:sz w:val="1"/>
                <w:szCs w:val="1"/>
                <w:color w:val="auto"/>
              </w:rPr>
            </w:pPr>
          </w:p>
        </w:tc>
      </w:tr>
      <w:tr>
        <w:trPr>
          <w:trHeight w:val="223"/>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127,012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(88,338)</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38,674</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the years ended December 31 was as follows (in thousands):</w:t>
            </w: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9"/>
        </w:trPr>
        <w:tc>
          <w:tcPr>
            <w:tcW w:w="66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intangible assets consist of goodwill, acquired technology, customer lists and relationships, patents, and other intangible assets, as discussed in Note 7. Our goodwill is attributable to a segment or segments of our business, as appropriate, as the related acquired business that generated the goodwill is integrated into our operations. Upon divestiture of a component of our business, the goodwill related to the segment is allocated to the divested business using the relative fair value allocation method.</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goodwill and other indefinite lived intangible assets for impairment on an annual basis during the fourth quarter of the year, and, if necessary, during interim periods if factors indicate that an impairment review is warranted. As of October 31, 2023 and 2022 our indefinite lived intangible assets consisted of goodwill, in-process research and development, and acquired procurement contracts and agreements. We performed a qualitative analysis of our indefinite lived intangible assets as of October 31, 2023 and determined that the fair value of the asset groups and the fair value of the reporting unit more likely than not exceeded their associated carrying values and were, therefore, not impaired.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definite lived intangible assets consist of acquired technologies, customer lists and relationships, distribution and manufacturing rights and know-how, patents, and other intangible assets. We amortize our definite lived intangible assets over their expected useful lives using the straight-line method, which we believe approximates the period of economic benefits of the related assets. Our indefinite lived intangible assets do not amortize but are instead subject to periodic impairment testing as discussed in “Impairments of Long-Lived Assets and Indefinite Lived Intangible Assets” below.</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Impairments of Long and Indefinite Lived Intangible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assess the potential impairment of our: (i) net property and equipment, (ii) amortizing intangible long-lived assets to be held and used and (iii) operating lease right-of-use assets whenever events or changes in circumstances indicate that the carrying value may not be recoverable. Factors that could trigger an impairment review include, but are not limited to, the following:</w:t>
      </w:r>
    </w:p>
    <w:p>
      <w:pPr>
        <w:spacing w:after="0" w:line="13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underperformance relative to expected historical or projected future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negative industry or economic trends;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stock price for a sustained period;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decline in our market capitalization relative to net book value.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determine that an impairment review is necessary, we will evaluate the assets or asset groups by comparing their carrying values to the sum of the undiscounted future cash flows expected to result from their use and eventual disposition. If the carrying values exceed the future cash flows, then the asset or asset group is considered impaired, and we will write down the value of the asset or asset group to its concluded fair value. For the years ended December 31, 2023, 2022, and 2021 we did not record an impairment of our long-lived assets as there were no indicators of impairment or the sum of the undiscounted future cash flows exceeded the carrying value of the long-lived asset (asset group).</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Procurement Fees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Donated tissue is procured from deceased human donors by OPOs and tissue banks that provide the tissue to us for processing, preservation, and distribution. We reimburse the OPOs and tissue banks for their costs to recover the tissue and include these costs as part of deferred preservation costs, as discussed above. We accrue estimated procurement fees due to the OPOs and tissue banks at the time tissues are received based on contractual agreements between us and the OPOs and tissue banks.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operating and finance lease obligations resulting from the lease of land and buildings that comprise our corporate headquarters and various manufacturing facilities; leases related to additional manufacturing, office, and warehouse space; leases on Company vehicles; and leases on a variety of office and other equipment, as discussed in Note 9. Certain of our leases contain escalation clauses, rent concessions, and renewal options for additional periods.</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exercise judgment in the determination of whether a financial arrangement includes a lease and in determining the appropriate discount rates to be applied to leases based on our general collateralized credit standing and the geographical market considerations impacting lease rates across all locations. When available, we use the implicit discount rate in the lease contract to discount lease payments to present value. If an implicit discount rate is not available in the lease contract, we use our incremental borrowing rate. We elected the package of practical expedients that allow us to omit leases with initial terms of 12 months or less from our balance sheet, which are expensed on a straight-line basis over the life of the lease. We have elected not to separate lease and non-lease components for future leases.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leases do not include terms or conditions which would result in variable lease payments other than for small office equipment leases with an additional charge for volume of usage. These incremental payments are excluded from our calculation of lease liability and the related right-of-use asset. We do not include option terms in the determination of lease liabilities and the related right-of-use assets unless we determine at lease commencement that the exercise of the option is reasonably certain. Our leases do not contain residual value guarantee provisions or other restrictions or financial covenant provisions.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Debt issuance costs related to our term loan and line of credit are capitalized and reported net of the current and long-term debt or as a prepaid asset when there are no outstanding borrowings. If there are unamortized debt issuance costs related to our line of credit but only borrowings on the term loan, these debt issuance costs will be combined with the debt issuance costs related to the term loan and reported net of the current and long-term debt for the term loan. We amortize debt issuance costs to interest expense on our term loan using the effective interest method over the life of the debt agreement. We amortize debt issuance costs to interest expense on our line of credit on a straight-line basis over the life of the debt agreement. Debt issuance costs related to our convertible debt agreement are amortized using the effective interest rate method as a direct deduction from the recorded debt issuance costs allocated to debt.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Claims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made aware of adverse events involving our products and tissues. Future adverse events could ultimately give rise to a lawsuit against us, and liability claims may be asserted against us in the future based on past events that we are not aware of at the present time. We maintain claims-made insurance policies to mitigate our financial exposure to product and tissue processing liability claims. Claims-made insurance policies generally cover only those asserted claims and incidents that are reported to the insurance carrier while the policy is in effect. Thus, a claims-made policy does not generally represent a transfer of risk for claims and incidents that have been incurred but not reported to the insurance carrier during the policy period. Any punitive damage components of claims are uninsured.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engage external advisors to assist us in estimating our liability and any related amount recoverable under our insurance policies as of each balance sheet date. We use a frequency-severity approach to estimate our unreported product and tissue processing liability claims, whereby projected losses are calculated by multiplying the estimated number of claims by the estimated average cost per claim. The estimated claims are determined based on the reported claim development method and the Bornhuetter-Ferguson method using a blend of our historical claim experience and industry data. The estimated cost per claim is calculated using a lognormal claims model blending our historical average cost per claim with industry claims data. We use a number of assumptions in order to estimate the unreported loss liability including: the future claim reporting time lag, the frequency of reported claims, the average cost per claim, and the maximum liability per claim. We believe that the assumptions we use provide a reasonable basis for our calculation. However, the accuracy of the estimates is limited by various factors, including, but not limited to, our specific conditions, uncertainties surrounding the assumptions used, and the scarcity of industry data directly relevant to our business activities. Due to these factors, actual results may differ significantly from our assumptions and from the amounts accrued.</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accrue our estimate of unreported product and tissue processing liability claims as a component of Other long-term liabilities and record the related recoverable insurance amounts as a component of Other long-term assets. The amounts recorded represent our estimate of the probable losses and anticipated recoveries for unreported claims related to products sold and services performed prior to the balance sheet date.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accrue losses from a legal contingency when the loss is both probable and reasonably estimable. The accuracy of our estimates of losses for legal contingencies is limited by uncertainties surrounding litigation. Therefore, actual results may differ significantly from the amounts accrued, if any. We accrue for legal contingencies as a component of accrued expenses and/or other long-term liabilities on our Consolidated Balance Sheets. Gains from legal contingencies are recorded when the contingency is resolved.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periodically assess our uncertain tax positions and recognize tax benefits if they are “more-likely-than-not” to be upheld upon review by the appropriate taxing authority. We measure the tax benefit by determining the maximum amount that has a “greater than 50 percent likelihood” of ultimately being realized. We reverse previously accrued liabilities for uncertain tax positions when audits are concluded, statutes expire, administrative practices dictate that a liability is no longer warranted, or in other circumstances, as deemed necessary. These assessments can be complex, and we often obtain assistance from external advisors to make these assessments. We recognize interest and penalties related to uncertain tax positions in interest expense, net on our Consolidated Statements of Operations and Comprehensive Loss. See Note 8 for further discussion of our liabilities for uncertain tax positions.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Income Taxes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 of temporary differences between the carrying amounts of assets and liabilities for financial reporting purposes and tax return purposes. We assess the recoverability of our deferred tax assets and provide a valuation allowance against our deferred tax assets when, as a result of this analysis, we believe it is more likely than not that some portion or all of our deferred tax assets will not be realized.</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Assessing the recoverability of deferred tax assets involves judgment and complexity including the consideration of prudent and feasible tax planning. Estimates and judgments used in the determination of the need for a valuation allowance and in calculating the amount of a needed valuation allowance include, but are not limited to, the following:</w:t>
      </w:r>
    </w:p>
    <w:p>
      <w:pPr>
        <w:spacing w:after="0" w:line="129"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carry back deferred tax asset attributes to a prior tax year;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the anticipated reversal of book/tax temporary differences;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future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future state tax apportionment;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amounts of anticipated future taxable income;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statutory limits regarding usage of certain tax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the statutory periods over which certain tax assets can be utilized.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changes in the factors above, or other factors, could affect our ability to use our deferred tax assets. Such changes could have a material, adverse impact on our profitability, financial position, and cash flows. We will continue to assess the recoverability of our deferred tax assets, as necessary, when we experience changes that could materially affect our prior determination of the recoverability of our deferred tax assets.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(the “FASB”) issued Accounting Standard Update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848 </w:t>
      </w:r>
      <w:r>
        <w:rPr>
          <w:rFonts w:ascii="Times New Roman" w:cs="Times New Roman" w:eastAsia="Times New Roman" w:hAnsi="Times New Roman"/>
          <w:sz w:val="18"/>
          <w:szCs w:val="18"/>
          <w:color w:val="auto"/>
        </w:rPr>
        <w:t>(“ASC 848”). The amendments in this ASU were put forth in response to the market transition from the LIBOR and other interbank offered rates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alternative reference rates. US GAAP requires entities to evaluate whether a contract modification, such as the replacement or change of a reference rate, results in the establishment of a new contract or continuation of an existing contract. ASC 848 allows an entity to elect not to apply certain modification accounting requirements to contracts affected by reference rate reform. The standard provides this temporary election through December 31, 2022 and cannot be applied to contract modifications that occur after December 31, 2022. In January 2021 the FASB issued ASU 2021-01,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w:t>
      </w:r>
      <w:r>
        <w:rPr>
          <w:rFonts w:ascii="Times New Roman" w:cs="Times New Roman" w:eastAsia="Times New Roman" w:hAnsi="Times New Roman"/>
          <w:sz w:val="18"/>
          <w:szCs w:val="18"/>
          <w:color w:val="auto"/>
        </w:rPr>
        <w:t>. The objective of the new reference rate reform standard is to clarify the scope of Topic 848 and provide explicit guidance to help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applying optional expedients and exceptions. We adopted ASU 2020-04 and ASU 2021-01 on a prospective basis in fiscal year 2022. The adoption of ASU 2020-04 and ASU 2021-01 did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Effective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This amendment is expected to enhance the transparency and decision usefulness of income tax disclosures by requiring public business entities, on an annual basis, to disclose specific categories in the rate reconciliation, additional information for reconciling items that meet a quantitative threshold and certain information about income taxes paid. This revised guidance is effective for financial statements issued for fiscal years beginning after December 15, 2024. We are currently evaluating the impacts of the new standard.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This amendment requires disclosure of incremental segment information on an annual and interim basis. This ASU is effective for fiscal years beginning after December 15, 2023, and interim periods within fiscal years beginning after December 15, 2024, and requires retrospective application to all prior periods presented in the financial statements. We are currently evaluating the impacts of the new standard.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Sale of PerClot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July 28, 2021 we entered into an asset purchase agreement, Transitional Manufacturing and Supply Agreement (“TMSA”), and other ancillary agreements related to the sale of PerClot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polysaccharide hemostatic agent used in surgery (“PerClot”), to a subsidiary of Baxter International, Inc. (“Baxter”) and an agreement to terminate all of our material agreements with Starch Medical, Inc. (“SMI”) related to PerClot (collectively the “Baxter Transaction”). Under the terms of the Baxter Transaction, Baxter will pay an aggregate of up to $54.5 million in consideration (we will receive up to $41.0 million and SMI will receive up to $13.5 million), consisting of (i) $25.0 million at closing, of which $6.0 million was paid to SMI; (ii) $18.8 million upon our receipt of Premarket Approval (“PMA”) from the US Food and Drug Administration (the “FDA”) for PerClot and our transfer of the PMA to Baxter, of which $4.5 million was paid to SMI; and (iii) up to $10.0 million upon Baxter’s achievement of certain cumulative worldwide net sales of PerClot prior to December 31, 2026 and December 31, 2027, of which up to $3.0 million is payable to SMI. In addition, at the conclusion of our manufacturing and supply services for Baxter, Baxter will pay $780,000 upon transfer of our PerClot manufacturing equipment. Under the terms of the Baxter Transaction, we will continue to provide to Baxter certain transition services relating to the sale of SMI PerClot outside of the US. Within the terms of the TMSA, we will manufacture and supply PerClot for Baxter post PMA for a contractual period of 21 months, subject to short-term renewal provisions.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Transaction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Upon closing of the Baxter Transaction, we received $25.0 million from Baxter and paid $6.0 million to SMI. We derecognized intangible assets with a carrying value of $1.6 million and wrote-off $1.5 million of prepaid royalties previously recorded on our Consolidated Balance Sheets related to PerClot. Under the terms of the agreement, Baxter acquired intellectual property related to our development efforts for PerClot. We recorded a pre-tax gain of $15.9 million, included as Gain from sale of non-financial assets within the Consolidated Statements of Operations and Comprehensive Loss for the year ended December 31, 2021. The PerClot product line was included as part of our Medical Devices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PerClot PMA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23, 2023 the FDA granted PMA of PerClot for use to control bleeding in certain open and laparoscopic surgical procedures. Pursuant to the terms of the TMSA of the Baxter Transaction, we transferred the ownership of the PMA to Baxter following approval. In May 2023 we received a payment of $18.8 million from Baxter, of which $4.5 million was paid to SMI. As a result, we recorded a pre-tax gain of $14.3 million as the assets were derecognized upon closing of the Baxter Transaction in fiscal year 2021, which was included as Gain from sale of non-financial assets within the Consolidated Statements of Operations and Comprehensive Loss for the twelve months ended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receipt of the PMA, under the terms of the TMSA, we began manufacturing and supplying PerClot for Baxter and recorded $5.1 million of PerClot revenues on the Consolidated Statements of Operations and Comprehensive Loss during the twelve months ended December 31, 2023.</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accounted for this TMSA in accordance with the provision of ASU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(“ASC 842”) by bifurcating the lease and non-lease components and recognizing each component based on ASC 842 and ASU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amount of lease revenue was $278,000 for the twelve months ended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 of Ascyrus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 2020 we entered into a Securities Purchase Agreement (the “Ascyrus Agreement”) to acquire 100% of the outstanding equity interests of Ascyrus Medical LLC (“Ascyrus”). Ascyrus developed the AMDS, the world’s first aortic arch remodeling device for use in the treatment of acute Type A aortic dissections.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Ascyrus Agreement, we will pay an aggregate of up to $200.0 million in consideration, consisting of: (i) a cash payment of approximately $60.0 million and the issuance of $20.0 million in shares of Artivion common stock, in each case, that were delivered at the closing of the acquisition, (ii) a cash payment of $10.0 million and the issuance of $10.0 million in shares of Artivion common stock upon FDA approval of the Investigational Device Exemption (“IDE”) application for the AMDS in 2021, (iii) if the FDA approves PMA application submitted for the AMDS, a cash payment of $25.0 million, (iv) if regulatory approval of the AMDS is obtained in Japan on or before June 30, 2027, a cash payment of $10.0 million, (v) if regulatory approval of the AMDS is obtained in China on or before June 30, 2027, a cash payment of $10.0 million and (vi) a potential additional consideration cash payment capped at $55.0 million (or up to $65.0 million to $75.0 million if the Japanese or Chinese approvals are not secured on or before June 30, 2027 and those approval milestone payments are added to the potential additional consideration cash payment cap) calculated as two times the incremental worldwide sales of the AMDS (or any other acquired technology or derivatives of such acquired technology) outside of the European Union during the three-year period following the date the FDA approves a PMA application submitted for the AMDS.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Accounting for the Transaction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acquisition, we may be required to pay additional consideration up to $100.0 million to the former shareholders of Ascyrus upon the achievement of certain milestones and the sales-based additional earnout described above. On September 2, 2020 the fair value of the total potential purchase consideration of $200.0 million included the total purchase consideration, as well as the contingent consideration liability discussed below. Our allocation of the purchase consideration was allocated to Ascyrus’s tangible and identifiable intangible assets acquired and liabilities assumed, based on their estimated fair values as of September 2, 2020.</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contingent consideration represents the estimated fair value of future potential payments. The fair value of the contingent consideration liability was estimated by discounting to present value the contingent payments expected to be made based on a probability-weighted scenario approach. We applied a discount rate based on our unsecured credit spread and the term commensurate risk-free rate to the additional consideration to be paid, and then applied a risk-based estimate of the probability of achieving each scenario to calculate the fair value of the contingent consideration. This fair value measurement was based on unobservable inputs, including management estimates and assumptions about the future achievement of milestones and future estimate of revenues, and is, therefore, classified as Level 3 within the fair value hierarchy presented in Note 5. We used a discount rate of approximately 7% and estimated future achievement of milestone dates between 2025 and 2026 to calculate the fair value of contingent consideration as of December 31, 2023. We will remeasure this liability at each reporting date and will record changes in the fair value of the contingent consideration in General, administrative, and marketing expenses on the Consolidated Statements of Operations and Comprehensive Loss. Increases or decreases in the fair value of the contingent consideration liability can result from changes in passage of time, discount rates, the timing and amount of our revenue estimates, and the timing and expectation of regulatory approvals.</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performed an assessment of the fair value of the contingent consideration and recorded a fair value increase of $23.5 million and a fair value reduction of $9.0 million for the twelve months ended December 31, 2023 and 2022, respectively, in General, administrative, and marketing expenses on the Consolidated Statements of Operations and Comprehensive Loss, as a result of this assessment.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2021 the FDA approved our IDE application for AMDS. Upon the approval, we funded a cash payment of $10.0 million and issued $10.0 million in shares of Artivion common stock pursuant to the Ascyrus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contingent consideration liability of $63.9 million and $40.4 million was included in Other long-term liabilities as of December 31, 2023 and </w:t>
      </w:r>
      <w:r>
        <w:rPr>
          <w:rFonts w:ascii="Times New Roman" w:cs="Times New Roman" w:eastAsia="Times New Roman" w:hAnsi="Times New Roman"/>
          <w:sz w:val="18"/>
          <w:szCs w:val="18"/>
          <w:color w:val="212529"/>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respectively, </w:t>
      </w:r>
      <w:r>
        <w:rPr>
          <w:rFonts w:ascii="Times New Roman" w:cs="Times New Roman" w:eastAsia="Times New Roman" w:hAnsi="Times New Roman"/>
          <w:sz w:val="18"/>
          <w:szCs w:val="18"/>
          <w:color w:val="000000"/>
        </w:rPr>
        <w:t>in the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Agreements with Endospan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Exclusive Distribution Agreement and Securities Purchase Option Agreement</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12529"/>
        </w:rPr>
        <w:t xml:space="preserve">On September 11, 2019 Artivion’s wholly owned subsidiary, JOTEC, entered into an exclusive distribution agreement (“Endospan Distribution Agreement”) with Endospan Ltd. (“Endospan”), an Israeli corporation, pursuant to which JOTEC obtained exclusive distribution rights for NEXUS, and under a subsequent amendment, the NEXUS DUO </w:t>
      </w:r>
      <w:r>
        <w:rPr>
          <w:rFonts w:ascii="Times New Roman" w:cs="Times New Roman" w:eastAsia="Times New Roman" w:hAnsi="Times New Roman"/>
          <w:sz w:val="18"/>
          <w:szCs w:val="18"/>
          <w:color w:val="000000"/>
        </w:rPr>
        <w:t>(collectively the “NEXUS Products”)</w:t>
      </w:r>
      <w:r>
        <w:rPr>
          <w:rFonts w:ascii="Times New Roman" w:cs="Times New Roman" w:eastAsia="Times New Roman" w:hAnsi="Times New Roman"/>
          <w:sz w:val="18"/>
          <w:szCs w:val="18"/>
          <w:color w:val="212529"/>
        </w:rPr>
        <w:t xml:space="preserve"> and accessories in certain countries in Europe in exchange for a fixed distribution fee of $9.0 million paid in September 2019.</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We also entered into a securities purchase option agreement (“Endospan Option”) with Endospan for $1.0 million paid in September 2019. The Endospan Option Agreement provides Artivion the option to purchase all the outstanding securities of Endospan from Endospan’s securityholders at the time of acquisition, or the option to acquire all of Endospan’s assets, in each case, for a price between $350.0 and $450.0 million before, or within a certain period of time after FDA approval of NEXUS, with such option expiring if not exercised within 90 days after receiving notice that Endospan has received approval from the FDA for NEXUS.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12529"/>
        </w:rPr>
        <w:t>Artivion and Endospan also entered into a loan agreement (“Endospan Loan”), dated September 11, 2019, in which Artivion agreed to provide Endospan a secured loan of up to $15.0 million to be funded in three tranches of $5.0 million each.</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The first tranche of the Endospan Loan was funded upon execution of the agreement in September 2019. In September 2020 we funded the second tranche payment of $5.0 million upon the certification of the NEXUS IDE from the FDA. In </w:t>
      </w:r>
      <w:r>
        <w:rPr>
          <w:rFonts w:ascii="Times New Roman" w:cs="Times New Roman" w:eastAsia="Times New Roman" w:hAnsi="Times New Roman"/>
          <w:sz w:val="18"/>
          <w:szCs w:val="18"/>
          <w:color w:val="000000"/>
        </w:rPr>
        <w:t>May 2023 we funded the third tranche payment of $5.0 million upon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certification of enrollment of 50% of the required number of patients in the primary arm of the FDA approved clinical trial for NEXUS.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 xml:space="preserve">We consolidate the results of a variable interest entity ("VIE") when it is determined that we are the primary beneficiary. Based on our initial evaluation of Endospan and the related agreements with Endospan, we determined that Endospan is a VIE. Although the arrangement with Endospan resulted in our holding a variable interest, it did not empower us to direct those activities of Endospan that most significantly impact the VIE economic performance. Therefore, we are not the primary beneficiary, and we have not consolidated Endospan into our financial results. Our payments to Endospan in September 2019 totaled $15.0 million which included a $9.0 million distribution fee, a $1.0 million securities purchase option, and $5.0 million for the first tranche of the Endospan Loan. The second tranche payment of $5.0 million was funded in September 2020. An additional </w:t>
      </w:r>
      <w:r>
        <w:rPr>
          <w:rFonts w:ascii="Times New Roman" w:cs="Times New Roman" w:eastAsia="Times New Roman" w:hAnsi="Times New Roman"/>
          <w:sz w:val="18"/>
          <w:szCs w:val="18"/>
          <w:color w:val="000000"/>
        </w:rPr>
        <w:t>$5.0 million was funded in May 2023 as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part of the third tranche payment described above. </w:t>
      </w:r>
      <w:r>
        <w:rPr>
          <w:rFonts w:ascii="Times New Roman" w:cs="Times New Roman" w:eastAsia="Times New Roman" w:hAnsi="Times New Roman"/>
          <w:sz w:val="18"/>
          <w:szCs w:val="18"/>
          <w:color w:val="212529"/>
        </w:rPr>
        <w:t>We evaluated Endospan for VIE classification as of December 31, 2023 and determined that Endospan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meets the criteria of a non-consolidating VIE. Our payments to date, including any loans, guarantees, and other subordinated financial support related to this VIE, totaled $25.0 million as of December 31, 2023, representing our maximum exposure to loss, and were not individually significant to our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Valuation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The agreements with Endospan were entered into concurrently and had certain terms that are interrelated. In our evaluation of the initial relative fair value of each of the Endospan agreements to determine the amount to record, we utilized discounted cash flows to estimate the fair market value for the Endospan Loan and for the Endospan Distribution Agreement. We estimated the fair value of the Endospan Option utilizing the Monte Carlo simulation. Inputs in our valuation of the Endospan agreements included cash payments and anticipated payments based on the executed agreements with Endospan, projected discounted cash flows in connection with the Endospan transaction, our expected internal rate of return and discount rates, and our assessed probability and timing of receipt of certification of certain approvals and milestones in obtaining FDA approval. Based on the initial fair value of the Endospan Loan and the relative fair values of the Endospan Distribution Agreement and Endospan Option Agreement, we recorded the Endospan Loan value of $358,000 in Other long-term assets in the Consolidated Balance Sheets as of December 31, 2019. The value of the Endospan Distribution Agreement of $1.8 million and $3.5 million was included in Other intangibles, net in the Consolidated Balance Sheets as of December 31, 2023 and 2022, respectively.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We elected the fair value option for recording the Endospan Loan. We assess the fair value of the Endospan Loan based on quantitative and qualitative characteristics, and adjust the amount recorded to its current fair market value at each reporting period. </w:t>
      </w:r>
      <w:r>
        <w:rPr>
          <w:rFonts w:ascii="Times New Roman" w:cs="Times New Roman" w:eastAsia="Times New Roman" w:hAnsi="Times New Roman"/>
          <w:sz w:val="18"/>
          <w:szCs w:val="18"/>
          <w:color w:val="000000"/>
        </w:rPr>
        <w:t>We performed an assessment of the fair value of the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Endospan Loan and determined that the loan fair value decreased and had no value as of December 31, 2021. As a result of this fair value adjustment, we recorded an expense of $409,000 in Other expense, net on the Consolidated Statements of Operations and Comprehensive Loss during twelve months ended December 31, 2021. In May 2023 we funded a $5.0 million third tranche payment and determined that the loan continued to have no fair value. Consequently, we recorded an expense of $5.0 million in Other expense, net on the Consolidated Statements of Operations and Comprehensive Loss during the twelve months ended December 31, 2023. We did not record a loan fair value adjustment during the twelve months ended December 31, 2022.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In the fourth quarter of December 31, 2021 we fully impaired the value of the Endospan Option primarily driven by a decrease in forecasted operating results. We recorded $4.9 million impairment expense included in General, administrative, and marketing expense on the Consolidated Statements of Operations and Comprehensive Loss </w:t>
      </w:r>
      <w:r>
        <w:rPr>
          <w:rFonts w:ascii="Times New Roman" w:cs="Times New Roman" w:eastAsia="Times New Roman" w:hAnsi="Times New Roman"/>
          <w:sz w:val="18"/>
          <w:szCs w:val="18"/>
          <w:color w:val="000000"/>
        </w:rPr>
        <w:t>during the twelve months ended</w:t>
      </w:r>
      <w:r>
        <w:rPr>
          <w:rFonts w:ascii="Times New Roman" w:cs="Times New Roman" w:eastAsia="Times New Roman" w:hAnsi="Times New Roman"/>
          <w:sz w:val="18"/>
          <w:szCs w:val="18"/>
          <w:color w:val="212529"/>
        </w:rPr>
        <w:t xml:space="preserve"> December 31,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5. Financial Instruments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05"/>
        </w:trPr>
        <w:tc>
          <w:tcPr>
            <w:tcW w:w="66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 summary of financial instruments measured at fair value was as follows (in thousands):</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22,802</w:t>
            </w:r>
          </w:p>
        </w:tc>
      </w:tr>
      <w:tr>
        <w:trPr>
          <w:trHeight w:val="230"/>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1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00" w:type="dxa"/>
            <w:vAlign w:val="bottom"/>
            <w:shd w:val="clear" w:color="auto" w:fill="BFE4FF"/>
          </w:tcPr>
          <w:p>
            <w:pPr>
              <w:spacing w:after="0"/>
              <w:rPr>
                <w:sz w:val="19"/>
                <w:szCs w:val="19"/>
                <w:color w:val="auto"/>
              </w:rPr>
            </w:pPr>
          </w:p>
        </w:tc>
        <w:tc>
          <w:tcPr>
            <w:tcW w:w="28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BFE4FF"/>
          </w:tcPr>
          <w:p>
            <w:pPr>
              <w:spacing w:after="0"/>
              <w:rPr>
                <w:sz w:val="19"/>
                <w:szCs w:val="19"/>
                <w:color w:val="auto"/>
              </w:rPr>
            </w:pPr>
          </w:p>
        </w:tc>
        <w:tc>
          <w:tcPr>
            <w:tcW w:w="1280" w:type="dxa"/>
            <w:vAlign w:val="bottom"/>
            <w:gridSpan w:val="2"/>
            <w:shd w:val="clear" w:color="auto" w:fill="BFE4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BFE4FF"/>
          </w:tcPr>
          <w:p>
            <w:pPr>
              <w:spacing w:after="0"/>
              <w:rPr>
                <w:sz w:val="19"/>
                <w:szCs w:val="19"/>
                <w:color w:val="auto"/>
              </w:rPr>
            </w:pPr>
          </w:p>
        </w:tc>
        <w:tc>
          <w:tcPr>
            <w:tcW w:w="11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3,968</w:t>
            </w:r>
          </w:p>
        </w:tc>
      </w:tr>
      <w:tr>
        <w:trPr>
          <w:trHeight w:val="223"/>
        </w:trPr>
        <w:tc>
          <w:tcPr>
            <w:tcW w:w="20" w:type="dxa"/>
            <w:vAlign w:val="bottom"/>
          </w:tcPr>
          <w:p>
            <w:pPr>
              <w:spacing w:after="0"/>
              <w:rPr>
                <w:sz w:val="19"/>
                <w:szCs w:val="19"/>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26,770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3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(63,890)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(63,890)</w:t>
            </w:r>
          </w:p>
        </w:tc>
      </w:tr>
      <w:tr>
        <w:trPr>
          <w:trHeight w:val="223"/>
        </w:trPr>
        <w:tc>
          <w:tcPr>
            <w:tcW w:w="20" w:type="dxa"/>
            <w:vAlign w:val="bottom"/>
          </w:tcPr>
          <w:p>
            <w:pPr>
              <w:spacing w:after="0"/>
              <w:rPr>
                <w:sz w:val="19"/>
                <w:szCs w:val="19"/>
                <w:color w:val="auto"/>
              </w:rPr>
            </w:pPr>
          </w:p>
        </w:tc>
        <w:tc>
          <w:tcPr>
            <w:tcW w:w="49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(63,890)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(63,890)</w:t>
            </w: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4"/>
                <w:szCs w:val="24"/>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(40,400)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(40,400)</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9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(40,400)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used prices quoted from our investment advisors to determine the Level 1 valuation of our investments in money market funds. The estimated market value of all cash equivalents is equal to cost basis as there were no gross realized gains or losses on cash equivalents for the years ended December 31, 2023, 2022, and 2021.</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contingent consideration component of the Ascyrus acquisition was updated using Level 3 inputs. See Note 3 for further discussion of the Ascyrus acquisition. Changes in fair value of Level 3 assets and liabilities are listed in the tables below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rPr>
              <w:t>(40,400)</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valuation</w:t>
            </w:r>
          </w:p>
        </w:tc>
        <w:tc>
          <w:tcPr>
            <w:tcW w:w="3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rPr>
              <w:t>(23,490)</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(63,890)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Inventories and Deferred Preservation Costs, net</w:t>
            </w:r>
          </w:p>
        </w:tc>
        <w:tc>
          <w:tcPr>
            <w:tcW w:w="3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at December 31, 2023 and 2022 were comprised of the following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36,715</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6"/>
              </w:rPr>
              <w:t>10,476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6"/>
              </w:rPr>
              <w:t>27,287</w:t>
            </w: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inventories, net</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81,976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6"/>
              </w:rPr>
              <w:t>74,478</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preservation costs, net at December 31, 2023 and 2022 were comprised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Cardiac tissues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21,799</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Vascular tissues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24,572</w:t>
            </w:r>
          </w:p>
        </w:tc>
      </w:tr>
      <w:tr>
        <w:trPr>
          <w:trHeight w:val="248"/>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deferred preservation costs,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46,371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product usage, we maintain consignment inventory of our On-X heart valves at domestic hospital locations and On-X heart valves, aortic stent grafts, and AMDS products at international hospital locations. We retain title and control over this consignment inventory until notice of implantation is received, at which time we invoice the hospital and recognize revenue. As of December 31, 2023 we had $10.7 million in consignment inventory, with approximately 44% in domestic locations and 56% in foreign locations. As of December 31, 2022 we had $12.7 million in consignment inventory, with approximately 41% in domestic locations and 59% in foreign locations.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and deferred preservation costs obsolescence reserves were $3.0 million and $2.2 million as of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Other Intangible Assets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Indefinite Lived Intangible Assets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carrying values of our indefinite lived intangible assets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243,631</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R&amp;D</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Procurement contracts and agreements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r>
    </w:tbl>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monitor the phases of development of our acquired in-process research and development projects, including the risks associated with further development and the amount and timing of benefits expected to be derived from the completed projects. Incremental costs associated with development are charged to expense as incurred. Capitalized costs are amortized over the estimated useful life of the developed asset once completed. Our in-process research and development projects are reviewed for impairment annually, or more frequently, if events or changes in circumstances indicate that the asset might be impaired. We evaluate our goodwill and indefinite lived intangible assets for impairment on an annual basis during the fourth quarter of the year, and, if necessary, during interim periods if factors indicate that an impairment review is warranted. We did not record any impairment of indefinite lived intangible assets, including goodwill, during the twelve months ended December 31, 2023, 2022, and 2021. In-process research and development, procurement contracts and agreements are included in Other intangibles, net on the Consolidated Balance Sheets as of December 31, 2023 and 2022.</w:t>
      </w:r>
    </w:p>
    <w:p>
      <w:pPr>
        <w:spacing w:after="0" w:line="16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our experience with similar agreements, we believe that our acquired procurement contracts and agreements have indefinite useful lives, as we expect to continue to renew these contracts for the foreseeable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value of our goodwill, all of which was related to our Medical Devices segment,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Medical Devices Segment</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tcPr>
          <w:p>
            <w:pPr>
              <w:spacing w:after="0"/>
              <w:rPr>
                <w:sz w:val="19"/>
                <w:szCs w:val="19"/>
                <w:color w:val="auto"/>
              </w:rPr>
            </w:pPr>
          </w:p>
        </w:tc>
        <w:tc>
          <w:tcPr>
            <w:tcW w:w="4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4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4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as of December 31,</w:t>
            </w:r>
          </w:p>
        </w:tc>
        <w:tc>
          <w:tcPr>
            <w:tcW w:w="4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247,337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243,631</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426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392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4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Definite Lived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definite lived intangible assets balance includes balances related to acquired technology, customer relationships, distribution and manufacturing rights and know-how, patents, and other definite lived intangible assets. As of December 31, 2023 and 2022 the gross carrying values, accumulated amortization, and approximate amortization period of our definite lived intangible assets were as follows (in thousands, except weighted average useful life):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Acquired technology</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w:t>
            </w:r>
          </w:p>
        </w:tc>
        <w:tc>
          <w:tcPr>
            <w:tcW w:w="6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 and manufacturing rights and know-how</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60" w:type="dxa"/>
            <w:vAlign w:val="bottom"/>
          </w:tcPr>
          <w:p>
            <w:pPr>
              <w:spacing w:after="0"/>
              <w:rPr>
                <w:sz w:val="19"/>
                <w:szCs w:val="19"/>
                <w:color w:val="auto"/>
              </w:rPr>
            </w:pP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60" w:type="dxa"/>
            <w:vAlign w:val="bottom"/>
            <w:shd w:val="clear" w:color="auto" w:fill="CCEEFF"/>
          </w:tcPr>
          <w:p>
            <w:pPr>
              <w:spacing w:after="0"/>
              <w:rPr>
                <w:sz w:val="19"/>
                <w:szCs w:val="19"/>
                <w:color w:val="auto"/>
              </w:rPr>
            </w:pPr>
          </w:p>
        </w:tc>
        <w:tc>
          <w:tcPr>
            <w:tcW w:w="15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60" w:type="dxa"/>
            <w:vAlign w:val="bottom"/>
          </w:tcPr>
          <w:p>
            <w:pPr>
              <w:spacing w:after="0"/>
              <w:rPr>
                <w:sz w:val="19"/>
                <w:szCs w:val="19"/>
                <w:color w:val="auto"/>
              </w:rPr>
            </w:pPr>
          </w:p>
        </w:tc>
        <w:tc>
          <w:tcPr>
            <w:tcW w:w="15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other intangibles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50,517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25,046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40" w:type="dxa"/>
            <w:vAlign w:val="bottom"/>
          </w:tcPr>
          <w:p>
            <w:pPr>
              <w:spacing w:after="0"/>
              <w:rPr>
                <w:sz w:val="24"/>
                <w:szCs w:val="24"/>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2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Acquired technology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intangibles: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Customer lists and relationships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19,930</w:t>
            </w:r>
          </w:p>
        </w:tc>
        <w:tc>
          <w:tcPr>
            <w:tcW w:w="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Distribution and manufacturing rights and know-how</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Patents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60" w:type="dxa"/>
            <w:vAlign w:val="bottom"/>
          </w:tcPr>
          <w:p>
            <w:pPr>
              <w:spacing w:after="0"/>
              <w:rPr>
                <w:sz w:val="19"/>
                <w:szCs w:val="19"/>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 other intangibles</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49,910</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27,291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recorded in General, administrative, and marketing expenses on our Consolidated Statements of Operations and Comprehensive Loss for the years ended December 31 was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16,820</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scheduled amortization of intangible assets for the next five years is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Income tax expense consisted of the following (in thousands):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5,838</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(5,831)</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income tax expense in 2023, 2022, and 2021 included our federal, state, and foreign tax obligations. Our effective income tax rate was a tax expense of 42% and 28% for the year ended December 31, 2023 and 2022, respectively. Our effective income tax rate was break-even for the year ended December 31, 2021.</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income tax rate for the year ended December 31, 2023 was primarily affected by an increase in the valuation allowance on our deferred tax assets, nondeductible executive compensation, income taxes in certain profitable foreign jurisdictions, and additional tax expense for uncertain tax positions, partially offset by the research and development tax credit and foreign derived intangible income deduction. Our income tax rate for the year ended December 31, 2022 was primarily affected by an increase in the valuation allowance on our deferred tax assets, nondeductible executive compensation, and additional tax expense for uncertain tax positions, partially offset by the research and development tax credit. Our income tax rate for the year ended December 31, 2021 was primarily affected by an increase in the valuation allowance on our deferred tax assets, foreign expense items, nondeductible executive compensation, and additional tax expense for uncertain tax positions, partially offset by the reduction of a valuation allowance on prior year items, the research and development tax credit, and releases of uncertain tax positions.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benefit amounts differ from the amounts computed by applying the US federal statutory income tax rate of 21%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2022, and 2021 to pretax income as a result of the following (in thousands):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benefit at statutory rate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r>
      <w:tr>
        <w:trPr>
          <w:trHeight w:val="270"/>
        </w:trPr>
        <w:tc>
          <w:tcPr>
            <w:tcW w:w="6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(reduction) in income taxes resulting from:</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 change</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income taxes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compensation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uncertain tax positions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entertainment expenses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interest disallowance</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deferred items</w:t>
            </w:r>
          </w:p>
        </w:tc>
        <w:tc>
          <w:tcPr>
            <w:tcW w:w="92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derived intangible income deduction</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to return adjustments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0"/>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 deferred tax assets primarily as a result of finance and operating leases, net operating losses, excess interest carryforward, accrued compensation, stock compensation, capitalizable research and development costs, unrealized foreign exchange losses, and capital leases. Our deferred tax liabilities are primarily comprised of intangible assets acquired in previous years, finance and operating leases, and capital leases.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effects of temporary differences which give rise to deferred tax assets and liabilities at December 31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and operating leases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12,581</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interest carryforward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 revaluation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carryforwards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carryforwards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and deferred preservation costs write-downs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r>
      <w:tr>
        <w:trPr>
          <w:trHeight w:val="229"/>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(17,942)</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assets, net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22,232</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9"/>
        </w:trPr>
        <w:tc>
          <w:tcPr>
            <w:tcW w:w="8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items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and operating leases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(12,217)</w:t>
            </w:r>
          </w:p>
        </w:tc>
      </w:tr>
      <w:tr>
        <w:trPr>
          <w:trHeight w:val="230"/>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(24,601)</w:t>
            </w:r>
          </w:p>
        </w:tc>
      </w:tr>
      <w:tr>
        <w:trPr>
          <w:trHeight w:val="23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(31,048)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(45,417)</w:t>
            </w:r>
          </w:p>
        </w:tc>
      </w:tr>
      <w:tr>
        <w:trPr>
          <w:trHeight w:val="250"/>
        </w:trPr>
        <w:tc>
          <w:tcPr>
            <w:tcW w:w="8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regularly assess the realizability of deferred tax assets and establish valuation allowances if it is more likely than not that some or all deferred tax assets will not be realized. A summary of valuation allowances against deferred tax assets was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7,170</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in estimates recorded to deferred income tax expense,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related to Other comprehensive income,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32,860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17,942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13,282</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maintained a net deferred tax liability of $20.8 million and $23.2 million, respectively. As of December 31, 2023 and 2022 we maintained valuation allowances against our deferred tax assets of $32.9 million and $17.9 million, respectively, primarily related to net operating loss carryforwards and disallowed excess interest carryforwards.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$1.3 million of federal net operating loss carryforwards related to the acquisitions of Cardiogenesis and Hemosphere for which we have a full valuation allowance against, approximately $1.5 million of state net operating loss carryforwards that will continue to expire in 2024, approximately $443,000 of foreign net operating loss carryforwards that will begin to expire in 2025, and approximately $293,000 in research and development tax credit carryforwards that will begin to expire in 2030, and approximately $81,000 in credits from other jurisdictions that mostly expire in 2027.</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we had a deferred tax asset of $6.4 million of disallowed interest expense deduction carryforwards as a result of the interest deductibility rule imposed by the “Tax Cuts and Jobs Act” of 2017 (“Tax Act”), and later modified by the Coronavirus Aid, Relief, and Economic Security Act (“CARES Act”). This deferred tax asset can be carried forward indefinitely. This rule disallows interest expense to the extent it exceeds 30% of adjusted taxable income. For the years ended December 31, 2023 and 2022 our interest deduction was limited to $20.4 million and $8.1 million, respectively.</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the realizability of our acquired net operating loss carryforwards will be limited in future periods due to a change in control of our former subsidiaries Hemosphere, Inc. (“Hemosphere”) and Cardiogenesis Corporation (“Cardiogenesis”), as mandated by Section 382 of the Internal Revenue Code of 1986, as amended. We believe that our acquisitions of these companies each constituted a change in control as defined in Section 382 and that, prior to our acquisition, Hemosphere had experienced other equity ownership changes that should be considered such a change in control. The deferred tax assets recorded on our Consolidated Balance Sheets exclude amounts that we expect will not be realizable due to changes in control. A portion of the acquired net operating loss carryforwards is related to state income taxes for which we believe it is more likely than not that some will not be realized. Therefore, we recorded a valuation allowance against these state net operating loss carryforwards. In addition, during the year, the realizability of a portion of our net operating loss carryforwards and other deferred tax assets was limited. We recorded a valuation allowance against these deferred tax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Reinvestment of Unremitted Earnings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reinvest substantially all of the unremitted earnings of our non-US subsidiaries to fund working capital, strategic investments, and debt repayment and postpone their remittance indefinitely. Accordingly, no provision for state and local taxes or foreign withholding taxes was recorded on these unremitted earnings in the accompanying Consolidated Statements of Operations and Comprehensive Loss. The Company is permanently reinvested with respect to the outside basis differences in its significant non-US subsidiaries. As of December 31, 2023 we had a deferred tax liability of $119,000 for the tax effects of this outside basis difference in the Consolidated Statements of Operations and Comprehensive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balances of our uncertain tax position liability, excluding interest and penalties, was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related to current year tax positions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for foreign exchange differences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related to prior year tax positions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due to the lapsing of statutes of limitations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related to prior year tax positions</w:t>
            </w: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due to settlements of prior year tax positions</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(1,880)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4,832</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4,089</w:t>
            </w:r>
          </w:p>
        </w:tc>
      </w:tr>
      <w:tr>
        <w:trPr>
          <w:trHeight w:val="20"/>
        </w:trPr>
        <w:tc>
          <w:tcPr>
            <w:tcW w:w="6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recorded non-current liabilities of $372,000 and $358,000 related to interest and penalties on uncertain tax positions on our Consolidated Balance Sheets as of December 31, 2023 and 2022, respectively. We included expense of $6,500 for December 31, 2023, expense of $145,000 for December 31, 2022, and income of $35,000 for December 31, 2021, respectively, for interest and penalties related to unrecognized tax benefits in our Consolidated Statements of Operations and Comprehensive Loss.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2023 our uncertain tax liability of $5.2 million, including interest and penalties, was recorded as a reduction to deferred tax assets of $100,000, and a non-current liability of $5.1 million on our Consolidated Balance Sheets. The amount of uncertain tax liabilities that are expected to affect our tax rate if recognized were $4.4 million, $3.6 million, and $3.2 million for the years ended December 31, 2023, 2022, and 2021, respectively. As of December 31, 2022 our total uncertain tax liability, including interest and penalties of $4.9 million, was recorded as a reduction to deferred tax assets of $100,000 and as a non-current liability of $4.8 million on our Consolidated Balance Sheets.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it is reasonably possible that approximately $100,000 of our uncertain tax liability will be recognized in 2024 due to the lapsing of various federal and state and foreign statutes of limitations, of which substantially all would affect the tax rate.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tax years 2020 and forward generally remain open to examination by the major taxing jurisdictions to which we are subject. However, certain returns from years prior to 2020, in which net operating losses and tax credits have arisen, are still open for examination by the tax authorities.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operating and finance lease obligations resulting from the lease of land and buildings that comprise our corporate headquarters and various manufacturing facilities; leases related to additional manufacturing, office, and warehouse space; leases on company vehicles; and leases on a variety of office and other equipment.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leases included in the Consolidated Balance Sheets was as follows (in thousands, except lease term and discount rate):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vMerge w:val="continue"/>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41,859</w:t>
            </w:r>
          </w:p>
        </w:tc>
        <w:tc>
          <w:tcPr>
            <w:tcW w:w="0" w:type="dxa"/>
            <w:vAlign w:val="bottom"/>
          </w:tcPr>
          <w:p>
            <w:pPr>
              <w:spacing w:after="0"/>
              <w:rPr>
                <w:sz w:val="1"/>
                <w:szCs w:val="1"/>
                <w:color w:val="auto"/>
              </w:rPr>
            </w:pPr>
          </w:p>
        </w:tc>
      </w:tr>
      <w:tr>
        <w:trPr>
          <w:trHeight w:val="229"/>
        </w:trPr>
        <w:tc>
          <w:tcPr>
            <w:tcW w:w="47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leases</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maturities of operating leases</w:t>
            </w:r>
          </w:p>
        </w:tc>
        <w:tc>
          <w:tcPr>
            <w:tcW w:w="3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41,257</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44,565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23"/>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maturities of finance leases</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maturities of finance leases</w:t>
            </w:r>
          </w:p>
        </w:tc>
        <w:tc>
          <w:tcPr>
            <w:tcW w:w="3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0" w:type="dxa"/>
            <w:vAlign w:val="bottom"/>
          </w:tcPr>
          <w:p>
            <w:pPr>
              <w:spacing w:after="0"/>
              <w:rPr>
                <w:sz w:val="1"/>
                <w:szCs w:val="1"/>
                <w:color w:val="auto"/>
              </w:rPr>
            </w:pPr>
          </w:p>
        </w:tc>
      </w:tr>
      <w:tr>
        <w:trPr>
          <w:trHeight w:val="223"/>
        </w:trPr>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3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4,157</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3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905"/>
        </w:trPr>
        <w:tc>
          <w:tcPr>
            <w:tcW w:w="4720" w:type="dxa"/>
            <w:vAlign w:val="bottom"/>
          </w:tcPr>
          <w:p>
            <w:pPr>
              <w:spacing w:after="0"/>
              <w:rPr>
                <w:sz w:val="24"/>
                <w:szCs w:val="24"/>
                <w:color w:val="auto"/>
              </w:rPr>
            </w:pPr>
          </w:p>
        </w:tc>
        <w:tc>
          <w:tcPr>
            <w:tcW w:w="3440" w:type="dxa"/>
            <w:vAlign w:val="bottom"/>
          </w:tcPr>
          <w:p>
            <w:pPr>
              <w:jc w:val="right"/>
              <w:ind w:right="2350"/>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 maturities of finance leases are included as a component of Other current liabilities on our Consolidated Balance Sheets. A summary of lease expenses for our finance and operating leases included in General, administrative, and marketing expenses on our Consolidated Statements of Operations and Comprehensive Loss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8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on finance leases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finance lease expense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lease expense</w:t>
            </w:r>
            <w:r>
              <w:rPr>
                <w:rFonts w:ascii="Times New Roman" w:cs="Times New Roman" w:eastAsia="Times New Roman" w:hAnsi="Times New Roman"/>
                <w:sz w:val="23"/>
                <w:szCs w:val="23"/>
                <w:color w:val="auto"/>
                <w:vertAlign w:val="superscript"/>
              </w:rPr>
              <w:t>a</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7,733</w:t>
            </w:r>
          </w:p>
        </w:tc>
      </w:tr>
      <w:tr>
        <w:trPr>
          <w:trHeight w:val="21"/>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4" w:lineRule="exact"/>
        <w:rPr>
          <w:sz w:val="20"/>
          <w:szCs w:val="20"/>
          <w:color w:val="auto"/>
        </w:rPr>
      </w:pPr>
    </w:p>
    <w:p>
      <w:pPr>
        <w:ind w:right="20" w:firstLine="8"/>
        <w:spacing w:after="0" w:line="211" w:lineRule="auto"/>
        <w:tabs>
          <w:tab w:leader="none" w:pos="119"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Total rental expense for operating leases was $7.5 million in 2021. The operating lease expense included right-of-use asset amortization and interest expense on the lease liability.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our cash flow information related to leases was as follows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46"/>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9"/>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8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are as follows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Finance</w:t>
            </w:r>
          </w:p>
        </w:tc>
        <w:tc>
          <w:tcPr>
            <w:tcW w:w="220" w:type="dxa"/>
            <w:vAlign w:val="bottom"/>
          </w:tcPr>
          <w:p>
            <w:pPr>
              <w:spacing w:after="0"/>
              <w:rPr>
                <w:sz w:val="24"/>
                <w:szCs w:val="24"/>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41"/>
        </w:trPr>
        <w:tc>
          <w:tcPr>
            <w:tcW w:w="8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2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25"/>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7,085</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6,539</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5,862</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33,920</w:t>
            </w:r>
          </w:p>
        </w:tc>
      </w:tr>
      <w:tr>
        <w:trPr>
          <w:trHeight w:val="22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65,766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w:t>
            </w:r>
          </w:p>
        </w:tc>
      </w:tr>
      <w:tr>
        <w:trPr>
          <w:trHeight w:val="22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net minimum lease payments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47,372</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current maturities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48"/>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Lease obligations, less current maturities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43,977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2017 we entered into a credit and guaranty agreement for a $255.0 million senior secured credit facility, consisting of a $225.0 million secured term loan facility (the “Term Loan Facility”) and a $30.0 million secured revolving credit facility (the “Revolving Credit Facility” and, together with the Term Loan Facility, the “Credit Agreement”). We and each of our existing domestic subsidiaries (subject to certain exceptions and exclusions) guarantee the obligations under the Credit Agreement (the “Guarantors”). The Credit Agreement is secured by a security interest in substantially all existing and after-acquired real and personal property (subject to certain exceptions and exclusions) of us and the Guarantors.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 2017 we borrowed the entire $225.0 million Term Loan Facility. The proceeds of the Term Loan Facility were used along with cash on hand and shares of Artivion common stock to (i) fund the acquisition of JOTEC and its subsidiaries (the “JOTEC Acquisition”), (ii) pay certain fees and expenses related to the JOTEC Acquisition and the Credit Agreement, and (iii) pay the outstanding balance of our prior credit facility. The Revolving Credit Facility may be used for working capital, capital expenditures, acquisitions permitted under the Credit Agreement, and other general corporate purposes pursuant to the terms of the Credit Agreement.</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under the Term Loan Facility is repayable on a quarterly basis according to the amortization provisions set forth in the Credit Agreement. We have the right to repay the loan under the Credit Agreement in whole or in part at any time. Amounts repaid in respect of the loan under the Term Loan Facility may not be reborrowed. Amounts repaid in respect of the loan under the Revolving Credit Facility may be reborrowed. All outstanding principal and interest in respect of (i) the Term Loan Facility must be repaid on or before December 1, 2024 and (ii) the Revolving Credit Facility must be repaid on or before December 1, 2022.</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and its subsequent amendments contain certain customary affirmative and negative covenants, including covenants that limit our ability and the ability of our subsidiaries to, among other things, grant liens, incur debt, dispose of assets, make loans and investments, make acquisitions, make certain restricted payments (including cash dividends), merge or consolidate, change business or accounting or reporting practices, in each case subject to customary exceptions for a credit facility of this size and type.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includes certain customary events of default that include, among other things, non-payment of principal, interest, or fees; inaccuracy of representations and warranties; breach of covenants; cross-default to certain material indebtedness; bankruptcy and insolvency; and change of control. Upon the occurrence and during the continuance of an event of default, the lenders may declare all outstanding principal and accrued but unpaid interest under the Credit Agreement immediately due and payable and may exercise the other rights and remedies provided under the Credit Agreement and related loan documents.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June 2, 2021 we entered into an amendment to our Credit Agreement to extend the maturity dates of both our Term Loan and its Revolving Credit Facility. As part of the amendment, the maturity dates of both our Term Loan and its Revolving Credit Facility were each extended by two and one-half years, until June 1, 2027 and June 1, 2025, respectively, subject to earlier springing maturities if our 4.25% Convertible Senior Notes, described below, remain outstanding on April 1, 2025 and December 31, 2024, respectively. With respect to the Term Loan, if the Convertible Senior Notes remained outstanding on April 1, 2025, the Term Loan’s maturity date would be April 1, 2025, or, if the Convertible Senior Notes’ own maturity date had been extended, the earlier of (i) 91 days prior to the Convertible Senior Notes’ new maturity date and (ii) June 1, 2027. In the case of the Revolving Credit Facility, if the Convertible Senior Notes are still outstanding on December 31, 2024, the Revolving Credit Facility’s maturity date will be either December 31, 2024 or, if the Convertible Senior Notes’ own maturity date has been extended, the earlier of (i) 182 days prior to the Convertible Senior Notes’ new maturity date and (ii) June 1, 2025. In connection with this amendment, we paid debt issuance costs of </w:t>
      </w:r>
      <w:r>
        <w:rPr>
          <w:rFonts w:ascii="Times New Roman" w:cs="Times New Roman" w:eastAsia="Times New Roman" w:hAnsi="Times New Roman"/>
          <w:sz w:val="18"/>
          <w:szCs w:val="18"/>
          <w:color w:val="212529"/>
        </w:rPr>
        <w:t>$2.1 million</w:t>
      </w:r>
      <w:r>
        <w:rPr>
          <w:rFonts w:ascii="Times New Roman" w:cs="Times New Roman" w:eastAsia="Times New Roman" w:hAnsi="Times New Roman"/>
          <w:sz w:val="18"/>
          <w:szCs w:val="18"/>
          <w:color w:val="auto"/>
        </w:rPr>
        <w:t xml:space="preserve">, of which </w:t>
      </w:r>
      <w:r>
        <w:rPr>
          <w:rFonts w:ascii="Times New Roman" w:cs="Times New Roman" w:eastAsia="Times New Roman" w:hAnsi="Times New Roman"/>
          <w:sz w:val="18"/>
          <w:szCs w:val="18"/>
          <w:color w:val="212529"/>
        </w:rPr>
        <w:t>$1.8 million</w:t>
      </w:r>
      <w:r>
        <w:rPr>
          <w:rFonts w:ascii="Times New Roman" w:cs="Times New Roman" w:eastAsia="Times New Roman" w:hAnsi="Times New Roman"/>
          <w:sz w:val="18"/>
          <w:szCs w:val="18"/>
          <w:color w:val="auto"/>
        </w:rPr>
        <w:t xml:space="preserve"> will be amortized over the life of the term loan facility and included in current and long-term debt on the Consolidated Balance Sheets. The remaining $361,000 of debt issuance costs and $474,000 of non-cash debt extinguishment costs were recorded in Interest expense on the Consolidated Statements of Operations and Comprehensive Loss.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On December 19, 2022 in accordance with adopting ASU 2020-04 and 2021-01, we entered into an amendment to our Credit Agreement to replace the LIBOR based benchmark interest rate with the Secured Overnight Financing Rate (“SOFR”) based benchmark interest rate for our Term Loan Facility and our Revolving Credit Facility. Based on historical analysis of the differences between the benchmark rates, SOFR is adjusted to arrive at a Term SOFR rate that serves as the replacement base rate for LIBOR under our amended credit facilities. Under this amendment, at the maturity of our existing LIBOR-based loan on December 30, 2022, the interest rate at the repricing of our Term Loan Facility was calculated as Term SOFR plus a fixed percentage credit spread of 3.50%. The loan under the Revolving Credit Facility bears interest at Term SOFR plus a margin of between 4.00% and 4.25%, depending on our consolidated net leverage ratio. As of December 31, 2023 the aggregate interest rate of the Credit Agreement was 8.97% per annum.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On January 18, 2024 </w:t>
      </w:r>
      <w:r>
        <w:rPr>
          <w:rFonts w:ascii="Times New Roman" w:cs="Times New Roman" w:eastAsia="Times New Roman" w:hAnsi="Times New Roman"/>
          <w:sz w:val="18"/>
          <w:szCs w:val="18"/>
          <w:color w:val="000000"/>
        </w:rPr>
        <w:t>we entered into a credit and guaranty agreement with Ares Management Credit funds to borrow up to $350.0 million senior secured,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interest-only, credit facilities. Upon closing, we borrowed a total of $220.0 million which we used, along with cash on hand, to pay off outstanding debt related to the Credit Agreement and related fees and expenses. See Note 17 for further discussion of our new Credit and Guaranty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On June 18, 2020 we issued $100.0 million aggregate principal amount of 4.25% Convertible Senior Notes with a maturity date of July 1, 2025 (the “Convertible Senior Notes”). The net proceeds from this offering, after deducting initial purchasers’ discounts and costs directly related to this offering, were approximately $96.5 million. On January 1, 2021 we adopted ASU 2020-06 and adjusted the carrying balance of the Convertible Senior Notes to notional. The Convertible Senior Notes balance was $100.0 million recorded in Long-term debt on the Consolidated Balance Sheets as of December 31, 2023. The Convertible Senior Notes may be settled in cash, stock, or a combination thereof, solely at our discretion. The initial conversion rate of the Convertible Senior Notes is 42.6203 shares per $1,000 principal amount, which is equivalent to a conversion price of approximately $23.46 per share, subject to adjustments. We use the if-converted method for assumed conversion of the Convertible Senior Notes for the diluted earnings per share calculation. The fair value and the effective interest rate of the Convertible Senior Notes as of December 31, 2023 was approximately $106.4 million and 5.05%, respectively. The fair value was based on market prices observable for similar instruments and is considered Level 2 in the fair value hierarchy.</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interest expense recognized on the Convertible Senior Notes includes approximately $5.0 million for the aggregate of the contractual coupon interest and the amortization of the debt issuance costs during the twelve months ended December 31, 2023. The interest expense recognized on the Convertible Senior Notes includes approximately $4.9 million for the aggregate of the contractual coupon interest and the amortization of the debt issuance costs for the twelve months ended December 31, 2022 and 2021. Interest on the Convertible Senior Notes began accruing upon issuance and is payable semi-annually. </w:t>
      </w:r>
      <w:r>
        <w:rPr>
          <w:rFonts w:ascii="Times New Roman" w:cs="Times New Roman" w:eastAsia="Times New Roman" w:hAnsi="Times New Roman"/>
          <w:sz w:val="18"/>
          <w:szCs w:val="18"/>
          <w:color w:val="212529"/>
        </w:rPr>
        <w:t xml:space="preserve">There were $1.1 million and </w:t>
      </w:r>
      <w:r>
        <w:rPr>
          <w:rFonts w:ascii="Times New Roman" w:cs="Times New Roman" w:eastAsia="Times New Roman" w:hAnsi="Times New Roman"/>
          <w:sz w:val="18"/>
          <w:szCs w:val="18"/>
          <w:color w:val="000000"/>
        </w:rPr>
        <w:t>$1.9 million</w:t>
      </w:r>
      <w:r>
        <w:rPr>
          <w:rFonts w:ascii="Times New Roman" w:cs="Times New Roman" w:eastAsia="Times New Roman" w:hAnsi="Times New Roman"/>
          <w:sz w:val="18"/>
          <w:szCs w:val="18"/>
          <w:color w:val="212529"/>
        </w:rPr>
        <w:t xml:space="preserve"> of unamortized debt issuance costs related to convertible senior notes as of December 31, 2023 and 2022, respectively.</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Holders of the Convertible Senior Notes may convert their notes at their option at any time prior to January 1, 2025 but only under the following circumstances: (i) during any calendar quarter commencing after the calendar quarter ending on September 30, 2020 (and only during such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(ii) during the five business day period after any five consecutive trading day period in which the trading price per $1,000 principal amount of notes for each trading day of the measurement period was less than 98% of the product of the last reported sale price of our common stock and the conversion rate on each such trading day; (iii) we give a notice of redemption with respect to any or all of the notes, at any time prior to the close of business on the second scheduled trading day immediately preceding the redemption date; or (iv) upon the occurrence of specified corporate events. On or after January 1, 2025 until the close of business on the second scheduled trading day immediately preceding the maturity date, holders may convert their notes at any time, regardless of the foregoing circumstances.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became eligible to redeem the Convertible Senior Notes beginning on July 5, 2023, following the expiration of their non-redemption period. We are able to redeem the Convertible Senior Notes in whole or in part, at our option, if the last reported sale price per share of our common stock has been at least </w:t>
      </w:r>
      <w:r>
        <w:rPr>
          <w:rFonts w:ascii="Times New Roman" w:cs="Times New Roman" w:eastAsia="Times New Roman" w:hAnsi="Times New Roman"/>
          <w:sz w:val="18"/>
          <w:szCs w:val="18"/>
          <w:color w:val="212529"/>
        </w:rPr>
        <w:t xml:space="preserve">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We may redeem for cash all or part of the Convertible Senior Notes at a redemption price equal to 100% of the principal amount of the redeemable Convertible Senior Notes, plus accrued and unpaid interest to, but excluding, the redemption date. No principal payments are due on the Convertible Senior Notes prior to maturity. Other than restrictions relating to certain fundamental changes and consolidations, mergers or asset sales and customary anti-dilution adjustments, the Convertible Senior Notes do not contain any financial covenants and do not restrict us from conducting significant restructuring transactions or issuing or repurchasing any of our other securities. As of </w:t>
      </w:r>
      <w:r>
        <w:rPr>
          <w:rFonts w:ascii="Times New Roman" w:cs="Times New Roman" w:eastAsia="Times New Roman" w:hAnsi="Times New Roman"/>
          <w:sz w:val="18"/>
          <w:szCs w:val="18"/>
          <w:color w:val="000000"/>
        </w:rPr>
        <w:t>December 31, 2023 and 2022</w:t>
      </w:r>
      <w:r>
        <w:rPr>
          <w:rFonts w:ascii="Times New Roman" w:cs="Times New Roman" w:eastAsia="Times New Roman" w:hAnsi="Times New Roman"/>
          <w:sz w:val="18"/>
          <w:szCs w:val="18"/>
          <w:color w:val="212529"/>
        </w:rPr>
        <w:t xml:space="preserve"> we are not aware of any current events or market conditions that would allow holders to convert the Convertible Senior Notes.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Supported Bank Debt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2014 JOTEC obtained the first loan Sparkasse Zollernalb, which is government sponsored by the Kreditanstalt für Wiederaufbau Bank (KFW). The first loan bears an interest rate of 2.45% and is scheduled to mature during the first quarter of 2024. In December 2015 JOTEC obtained the second loan Sparkasse Zollernalb sponsored by KFW. The second loan bears an interest rate of 1.40% and is scheduled to mature during the third quarter of 2025.</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short-term and long-term balances of our term loans were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26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balance</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213,750</w:t>
            </w: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2.45% Sparkasse Zollernalb (KFW Loan 1)</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29"/>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1.40% Sparkasse Zollernalb (KFW Loan 2)</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2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loan balance</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312,045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314,779</w:t>
            </w:r>
          </w:p>
        </w:tc>
      </w:tr>
      <w:tr>
        <w:trPr>
          <w:trHeight w:val="229"/>
        </w:trPr>
        <w:tc>
          <w:tcPr>
            <w:tcW w:w="3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unamortized loan origination costs</w:t>
            </w: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w:t>
            </w:r>
          </w:p>
        </w:tc>
      </w:tr>
      <w:tr>
        <w:trPr>
          <w:trHeight w:val="223"/>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borrowings</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306,982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308,107</w:t>
            </w:r>
          </w:p>
        </w:tc>
      </w:tr>
      <w:tr>
        <w:trPr>
          <w:trHeight w:val="229"/>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short-term loan balance, net</w:t>
            </w:r>
          </w:p>
        </w:tc>
        <w:tc>
          <w:tcPr>
            <w:tcW w:w="8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48"/>
        </w:trPr>
        <w:tc>
          <w:tcPr>
            <w:tcW w:w="2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Long-term loan balance, net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306,499</w:t>
            </w:r>
          </w:p>
        </w:tc>
      </w:tr>
      <w:tr>
        <w:trPr>
          <w:trHeight w:val="20"/>
        </w:trPr>
        <w:tc>
          <w:tcPr>
            <w:tcW w:w="400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1460" w:type="dxa"/>
            <w:vAlign w:val="bottom"/>
            <w:tcBorders>
              <w:top w:val="single" w:sz="8" w:color="CCEEFF"/>
            </w:tcBorders>
            <w:gridSpan w:val="3"/>
          </w:tcPr>
          <w:p>
            <w:pPr>
              <w:spacing w:after="0" w:line="20" w:lineRule="exact"/>
              <w:rPr>
                <w:sz w:val="1"/>
                <w:szCs w:val="1"/>
                <w:color w:val="auto"/>
              </w:rPr>
            </w:pPr>
          </w:p>
        </w:tc>
        <w:tc>
          <w:tcPr>
            <w:tcW w:w="144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86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At December 31, 2023 the aggregate maturities of long-term debt for the next five years are as follows (in thousands):</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59"/>
        </w:trPr>
        <w:tc>
          <w:tcPr>
            <w:tcW w:w="26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6"/>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w:t>
            </w:r>
          </w:p>
        </w:tc>
        <w:tc>
          <w:tcPr>
            <w:tcW w:w="88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2,588</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102,458</w:t>
            </w: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204,749</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312,045</w:t>
            </w: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aggregate maturity schedule is subject to change due to a provision within the Credit Agreement that requires us to make annual prepayments based on an excess cash flow calculation.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19, 2023 we issued payable notes in the aggregate of $3.6 million to finance our insurance premiums. The notes have a term of one year and bear an interest rate of 6.65% per annum. The notes payable balance was $1.0 million recorded in Other current liabilities on the Consolidated Balance Sheet as of December 31,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interest expense was $25.3 million, $18.2 million, and $16.9 million in 2023, 2022, and 2021, respectively. Interest expense includes interest on debt and uncertain tax positions in all periods.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Claims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made aware of adverse events involving our products and tissues. Future adverse events could ultimately give rise to a lawsuit against us, and liability claims may be asserted against us in the future based on past events that we are not aware of at the present time. We maintain claims-made insurance policies to mitigate our financial exposure to product and tissue processing liability claims. Claims-made insurance policies generally cover only those asserted claims and incidents that are reported to the insurance carrier while the policy is in effect. The amounts recorded in these Consolidated Financial Statements as of December 31, 2023 and 2022 represent our estimate of the probable losses and anticipated recoveries for incurred but not reported claims related to products sold and services performed prior to the balance sheet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employment agreement of our Chairman, President, and Chief Executive Officer (“CEO”), Mr. J. Patrick Mackin, provides for a severance payment, which would become payable upon the occurrence of certain employment termination events, including termination by us without cause.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PROACT Xa Clinical Trial Termination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23, 2022 we announced that we were stopping the PROACT Xa clinical trial as recommended by the trial's independent Data and Safety Monitoring Board. The PROACT Xa clinical trial was a prospective, randomized, trial designed to determine if patients with On-X mechanical aortic valves could be maintained safely and effectively on apixaban rather than on warfarin. As a result of PROACT Xa's early termination, we recorded $4.5 million of termination and wind-down expenses that are included in Research and development operating expenses on the Consolidated Statements of Operations and Comprehensive Loss for the twelve months ended December 31, 2022. The majority of these costs include administrative costs, that we paid during the fourth quarter of 2022 and the first quarter of 2023, as well as the estimated cost of clinical drugs purchased for patients participating in the study that are not expected to be recovered.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Employee Benefit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401(k) savings plan (“401(k) Plan”) providing retirement benefits to all US employees who have completed at least three months of service. We made matching contributions of each participant's contribution up to 4.0% of each participant’s salary in 2023, 2022 and 2021. Our contributions approximated $2.6 million, $2.6 million, and $2.1 million for the years ended 2023, 2022, and 2021, respectively. We may make discretionary contributions to the 401(k) Plan; however, no discretionary contributions were made in any of the past three years.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Deferred Compensation Plan (“Deferred Plan”) allows certain of our US employees to defer receipt of a portion of their salary and cash bonus. The Deferred Plan provides for tax-deferred growth of deferred compensation. Pursuant to the terms of the Deferred Plan, we agree to return the deferred amounts plus gains and losses, based on investment fund options chosen by each respective participant, to the plan participants upon distribution. All deferred amounts and deemed earnings thereon are vested at all times. We have no current plans to match any contributions. Amounts owed to plan participants are unsecured obligations of the Company. We have established a rabbi trust in which it will make contributions to fund our obligations under the Deferred Plan. Pursuant to the terms of the trust, we will be required to make contributions each year to fully match our obligations under the Deferred Plan. The trust’s funds are primarily invested in Company Owned Life Insurance (“COLI”), and we plan to hold the policies until the deaths of the insured.</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deferred compensation liabilities are recorded as a component of Other current liabilities and long-term Deferred compensation liabilities, as appropriate, on the Consolidated Balance Sheets based on the anticipated distribution dates. We recorded $491,000 in Other current liabilities and $6.8 million in Long-term liabilities as of December 31, 2023 in the Consolidated Balance Sheets. We recorded $5.5 million in Long-term liabilities as of December 31, 2022 in the Consolidated Balance Sheets. The cash surrender value of COLI recorded in Other long-term assets on the Consolidated Balance Sheets was $6.9 million and $5.5 million as of December 31, 2023 and 2022, respectively. Changes in the value of participant accounts and changes in the cash surrender value of COLI are recorded as part of our operating expenses and are subject to our normal allocation of expenses to inventory and deferred preservation costs.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Recognition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disaggregated by following geographic regions:</w:t>
      </w:r>
    </w:p>
    <w:p>
      <w:pPr>
        <w:spacing w:after="0" w:line="185" w:lineRule="exact"/>
        <w:rPr>
          <w:sz w:val="20"/>
          <w:szCs w:val="20"/>
          <w:color w:val="auto"/>
        </w:rPr>
      </w:pPr>
    </w:p>
    <w:p>
      <w:pPr>
        <w:ind w:left="66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consists of US and Canada. We market our medical device products and preservation services (predominantly in the US), primarily to physicians through our direct sales representatives who are managed by region managers.</w:t>
      </w:r>
    </w:p>
    <w:p>
      <w:pPr>
        <w:jc w:val="both"/>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the Middle East, and Africa (“EMEA”): we market approved medical device products to physicians, hospitals, and distributors through our direct sales force in certain countries. In countries where there are no direct sales forces, regional sales managers market to distributors who buy medical device products directly from us and sell to hospitals in their respective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Asia Pacific (“APAC”): we market medical device products that are approved in each country to distributors in the region.</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Latin America (“LATAM”): we market medical device products that are approved in each country to distributors in the region except for Brazil where we sell directly to end customers and distributors.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by geographic location based on the location of the customer for the years ended December 31, 2023, 2022, and 2021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157,881</w:t>
            </w: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109,081</w:t>
            </w: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21,696</w:t>
            </w:r>
          </w:p>
        </w:tc>
      </w:tr>
      <w:tr>
        <w:trPr>
          <w:trHeight w:val="229"/>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LATAM</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10,178</w:t>
            </w:r>
          </w:p>
        </w:tc>
      </w:tr>
      <w:tr>
        <w:trPr>
          <w:trHeight w:val="248"/>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CardioGenesis cardiac laser therapy business abandonment: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2023 our supplier of CardioGenesis cardiac laser therapy handpieces informed us that it was exiting the business and will no longer be supplying handpieces effective immediately because the sole-source manufacturer of tubing used in the handpiece assembly had gone out of business and a new supplier had yet to be identified and qualified. We evaluated the impact of this disruption on our CardioGenesis cardiac laser therapy business and possible avenues for resumption of supply including the evaluation of alternate suppliers and handpiece manufacturers. As of June 30, 2023 we were unable to identify an alternative source of supply or handpiece manufacturer and do not foresee a resumption of this business in the future. As a result, we wrote-off all of our CardioGenesis cardiac laser therapy assets and recorded an expense of $390,000 during the twelve months ended December 31, 2023 on our Consolidated Statements of Operations and Comprehensive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see segment disclosure in Note 16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authorized to grant and have available for grant the following number of shares under our stock plans as of December 31,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306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Available for Grant</w:t>
            </w:r>
          </w:p>
        </w:tc>
      </w:tr>
      <w:tr>
        <w:trPr>
          <w:trHeight w:val="237"/>
        </w:trPr>
        <w:tc>
          <w:tcPr>
            <w:tcW w:w="400" w:type="dxa"/>
            <w:vAlign w:val="bottom"/>
          </w:tcPr>
          <w:p>
            <w:pPr>
              <w:spacing w:after="0"/>
              <w:rPr>
                <w:sz w:val="20"/>
                <w:szCs w:val="20"/>
                <w:color w:val="auto"/>
              </w:rPr>
            </w:pPr>
          </w:p>
        </w:tc>
        <w:tc>
          <w:tcPr>
            <w:tcW w:w="620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1996</w:t>
            </w:r>
          </w:p>
        </w:tc>
        <w:tc>
          <w:tcPr>
            <w:tcW w:w="61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Discounted Employee Stock Purchase Plan, as amended</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826,000</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967,000</w:t>
            </w:r>
          </w:p>
        </w:tc>
      </w:tr>
      <w:tr>
        <w:trPr>
          <w:trHeight w:val="230"/>
        </w:trPr>
        <w:tc>
          <w:tcPr>
            <w:tcW w:w="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9"/>
              </w:rPr>
              <w:t>2020</w:t>
            </w:r>
          </w:p>
        </w:tc>
        <w:tc>
          <w:tcPr>
            <w:tcW w:w="62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Equity and Cash Incentive Plan</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7,145,000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3,281,000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999,000</w:t>
            </w:r>
          </w:p>
        </w:tc>
      </w:tr>
      <w:tr>
        <w:trPr>
          <w:trHeight w:val="248"/>
        </w:trPr>
        <w:tc>
          <w:tcPr>
            <w:tcW w:w="66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10,045,000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4,107,000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1,966,000</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the Shareholders approved a new 2020 Equity and Cash Incentive Plan (“ECIP”) and funded it with 2.7 million of newly issuable shares. On August 11, 2020 4.1 million shares were registered under the 2020 ECIP, consisting of the newly issuable shares as well as 1.4 million of the shares that remained available for grant under the 2009 ECIP as of that date. On May 16, 2023 the Shareholders approved additional 3.0 million shares to be registered under the 2020 ECIP.</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2023 the Compensation Committee of our Board of Directors (the “Committee”) authorized awards from approved stock incentive plans of RSAs to non-employee directors and RSUs and PSUs to certain employees and Company officers, which, counting PSUs at target levels, together totaled 681,000 shares and had an aggregate grant date market value of $9.7 million. Two types of PSUs were granted in 2023, an annual grant with a one-year performance period (“Annual PSU”) and an LTIP PSU grant (the “2023 LTIP PSU”) with a one-year performance period. If the highest performance threshold was met, the Annual PSU granted in 2023 represented the right to receive up to 150% of the target number of shares of common stock. The performance component of the Annual PSU granted in 2023 was based on attaining specified levels of revenue growth and specified levels of EBITDA, as defined in the PSU grant documents, for the 2023 calendar year. The Annual PSU granted in 2023 earned approximately 148% of the target number of shares. If the highest performance threshold was met, the 2023 LTIP PSU grant represented a right to receive up to 200% of the target number of shares of common stock. The 2023 LTIP PSU grant earned approximately 200% of target number of shares.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2019 the Committee authorized, and we granted, an LTIP PSU (the “Original LTIP”), which has multiple performance periods over a five-year period. If the highest performance thresholds were met, the Original LTIP represents the right to receive up to 288%, and up to 192% for a certain key executive, of the target number of shares of common stock. The performance component of the Original LTIP was based on attaining specified levels of adjusted revenue growth and gross margin, as defined in the Original LTIP grant document, for the years 2019 through 2023. During 2020 we determined that the threshold performance under the first performance period (2019 through 2021) of the Original LTIP was unlikely to be achieved which resulted in a reversal of $1.9 million in expense in the fourth quarter of 2020. During 2022 the second performance period of the Original LTIP earned approximately 136% and 108% to a certain key executive of target number of shares of common stock. During 2023 the third performance period of the Original LTIP earned approximately 213% and 142% to a certain key executive of target number of shares of common stock.</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2022 the Committee authorized awards from approved stock incentive plans of RSAs to non-employee Directors and RSUs and PSUs to certain employees and Company officers, which, counting PSUs at target levels, together totaled 871,000 shares and had an aggregate grant date market value of $13.5 million. Two types of PSUs were granted in 2022, an annual grant with a one-year performance period and an LTIP PSU grant (the “2022 LTIP PSU”) with a one-year performance period. If the highest performance threshold was met, the Annual PSU granted in 2022 represented the right to receive up to 150% of the target number of shares of common stock. The performance component of the Annual PSU granted in 2022 was based on attaining specified levels of revenue growth and specified levels of EBITDA, as defined in the PSU grant documents, for the 2022 calendar year. The Annual PSU granted in 2022 earned approximately 51% of the target number of shares and subsequently modified on February 13, 2023 to earn approximately 89% of the target number of shares. If the highest performance threshold was met, the 2022 LITP PSU grant represented a right to receive up to 200% of the target number of shares of common stock. The 2022 LTIP PSU grant earned approximately 140% of target number of shares.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2021 the Committee authorized awards from approved stock incentive plans of RSUs to certain employees, RSAs to non-employee Directors, and RSAs and PSUs to certain Company officers, which, counting PSUs at target levels, together totaled 500,000 shares and had an aggregate grant date market value of $12.6 million. Two types of PSUs were granted in 2021, an Annual PSU and a special LTIP PSU (the “2021 LTIP PSU”), each with a one-year performance period. If the highest performance threshold was met, the Annual PSU granted in 2021 represented the right to receive up to 150% of the target number of shares of common stock. The performance component of the Annual PSU granted in 2021 was based on attaining specified levels of revenue growth and certain non-financial metrics, as defined in the PSU grant documents, for the 2021 calendar year. The Annual PSU granted in 2021 earned approximately 110% of the target number of shares. If the highest performance threshold was met, the 2021 LTIP PSU grant in 2021 represented a right to receive up to 200% of the target number of shares of common stock. The 2021 LTIP PSU grant earned approximately 118% of target number of shares.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summary of stock grant activity for the years ended December 31, 2023, 2022, and 2021 for RSAs, RSUs, and PSUs, based on the target number of shares, was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0"/>
        </w:trPr>
        <w:tc>
          <w:tcPr>
            <w:tcW w:w="6280" w:type="dxa"/>
            <w:vAlign w:val="bottom"/>
            <w:gridSpan w:val="2"/>
            <w:vMerge w:val="restart"/>
          </w:tcPr>
          <w:p>
            <w:pPr>
              <w:ind w:left="3720"/>
              <w:spacing w:after="0"/>
              <w:rPr>
                <w:sz w:val="20"/>
                <w:szCs w:val="20"/>
                <w:color w:val="auto"/>
              </w:rPr>
            </w:pPr>
            <w:r>
              <w:rPr>
                <w:rFonts w:ascii="Times New Roman" w:cs="Times New Roman" w:eastAsia="Times New Roman" w:hAnsi="Times New Roman"/>
                <w:sz w:val="18"/>
                <w:szCs w:val="18"/>
                <w:b w:val="1"/>
                <w:bCs w:val="1"/>
                <w:color w:val="auto"/>
              </w:rPr>
              <w:t>RSAs</w:t>
            </w: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50"/>
              <w:spacing w:after="0" w:line="180"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auto"/>
            </w:tcBorders>
            <w:gridSpan w:val="2"/>
            <w:vMerge w:val="continue"/>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c>
          <w:tcPr>
            <w:tcW w:w="0" w:type="dxa"/>
            <w:vAlign w:val="bottom"/>
          </w:tcPr>
          <w:p>
            <w:pPr>
              <w:spacing w:after="0"/>
              <w:rPr>
                <w:sz w:val="1"/>
                <w:szCs w:val="1"/>
                <w:color w:val="auto"/>
              </w:rPr>
            </w:pPr>
          </w:p>
        </w:tc>
      </w:tr>
      <w:tr>
        <w:trPr>
          <w:trHeight w:val="223"/>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229"/>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6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80" w:type="dxa"/>
            <w:vAlign w:val="bottom"/>
            <w:gridSpan w:val="2"/>
            <w:vMerge w:val="restart"/>
          </w:tcPr>
          <w:p>
            <w:pPr>
              <w:ind w:left="288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6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6280" w:type="dxa"/>
            <w:vAlign w:val="bottom"/>
            <w:gridSpan w:val="2"/>
            <w:vMerge w:val="continue"/>
          </w:tcPr>
          <w:p>
            <w:pPr>
              <w:spacing w:after="0"/>
              <w:rPr>
                <w:sz w:val="21"/>
                <w:szCs w:val="21"/>
                <w:color w:val="auto"/>
              </w:rPr>
            </w:pPr>
          </w:p>
        </w:tc>
        <w:tc>
          <w:tcPr>
            <w:tcW w:w="1680" w:type="dxa"/>
            <w:vAlign w:val="bottom"/>
            <w:gridSpan w:val="2"/>
            <w:vMerge w:val="continue"/>
          </w:tcPr>
          <w:p>
            <w:pPr>
              <w:spacing w:after="0"/>
              <w:rPr>
                <w:sz w:val="21"/>
                <w:szCs w:val="21"/>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3"/>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212,000</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5,015,000</w:t>
            </w: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4,558,000</w:t>
            </w: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643,000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8,895,000</w:t>
            </w:r>
          </w:p>
        </w:tc>
        <w:tc>
          <w:tcPr>
            <w:tcW w:w="0" w:type="dxa"/>
            <w:vAlign w:val="bottom"/>
          </w:tcPr>
          <w:p>
            <w:pPr>
              <w:spacing w:after="0"/>
              <w:rPr>
                <w:sz w:val="1"/>
                <w:szCs w:val="1"/>
                <w:color w:val="auto"/>
              </w:rPr>
            </w:pPr>
          </w:p>
        </w:tc>
      </w:tr>
      <w:tr>
        <w:trPr>
          <w:trHeight w:val="223"/>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327,000</w:t>
            </w: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15,711,000</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879,000</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gridSpan w:val="2"/>
          </w:tcPr>
          <w:p>
            <w:pPr>
              <w:ind w:left="290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5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23"/>
        </w:trPr>
        <w:tc>
          <w:tcPr>
            <w:tcW w:w="6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Unvested at December 31, 2020</w:t>
            </w:r>
          </w:p>
        </w:tc>
        <w:tc>
          <w:tcPr>
            <w:tcW w:w="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331,000</w:t>
            </w:r>
          </w:p>
        </w:tc>
      </w:tr>
      <w:tr>
        <w:trPr>
          <w:trHeight w:val="218"/>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r>
      <w:tr>
        <w:trPr>
          <w:trHeight w:val="229"/>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34"/>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w:t>
            </w: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2021</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372,000</w:t>
            </w:r>
          </w:p>
        </w:tc>
      </w:tr>
      <w:tr>
        <w:trPr>
          <w:trHeight w:val="218"/>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182,000</w:t>
            </w:r>
          </w:p>
        </w:tc>
      </w:tr>
      <w:tr>
        <w:trPr>
          <w:trHeight w:val="229"/>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w:t>
            </w:r>
          </w:p>
        </w:tc>
      </w:tr>
      <w:tr>
        <w:trPr>
          <w:trHeight w:val="234"/>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(97,000)</w:t>
            </w: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340,000</w:t>
            </w:r>
          </w:p>
        </w:tc>
      </w:tr>
      <w:tr>
        <w:trPr>
          <w:trHeight w:val="218"/>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308,000</w:t>
            </w:r>
          </w:p>
        </w:tc>
      </w:tr>
      <w:tr>
        <w:trPr>
          <w:trHeight w:val="229"/>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(213,000)</w:t>
            </w:r>
          </w:p>
        </w:tc>
      </w:tr>
      <w:tr>
        <w:trPr>
          <w:trHeight w:val="234"/>
        </w:trPr>
        <w:tc>
          <w:tcPr>
            <w:tcW w:w="6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(169,000)</w:t>
            </w: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at December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266,000</w:t>
            </w:r>
          </w:p>
        </w:tc>
      </w:tr>
      <w:tr>
        <w:trPr>
          <w:trHeight w:val="20"/>
        </w:trPr>
        <w:tc>
          <w:tcPr>
            <w:tcW w:w="6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-1679575</wp:posOffset>
            </wp:positionV>
            <wp:extent cx="713232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-1079500</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Weighted</w:t>
      </w:r>
    </w:p>
    <w:p>
      <w:pPr>
        <w:ind w:left="480"/>
        <w:spacing w:after="0" w:line="219" w:lineRule="auto"/>
        <w:rPr>
          <w:sz w:val="20"/>
          <w:szCs w:val="20"/>
          <w:color w:val="auto"/>
        </w:rPr>
      </w:pPr>
      <w:r>
        <w:rPr>
          <w:rFonts w:ascii="Times New Roman" w:cs="Times New Roman" w:eastAsia="Times New Roman" w:hAnsi="Times New Roman"/>
          <w:sz w:val="18"/>
          <w:szCs w:val="18"/>
          <w:b w:val="1"/>
          <w:bCs w:val="1"/>
          <w:color w:val="auto"/>
        </w:rPr>
        <w:t>Average</w:t>
      </w:r>
    </w:p>
    <w:tbl>
      <w:tblPr>
        <w:tblLayout w:type="fixed"/>
        <w:tblInd w:w="0" w:type="dxa"/>
        <w:tblCellMar>
          <w:top w:w="0" w:type="dxa"/>
          <w:left w:w="0" w:type="dxa"/>
          <w:bottom w:w="0" w:type="dxa"/>
          <w:right w:w="0" w:type="dxa"/>
        </w:tblCellMar>
      </w:tblPr>
      <w:tr>
        <w:trPr>
          <w:trHeight w:val="160"/>
        </w:trPr>
        <w:tc>
          <w:tcPr>
            <w:tcW w:w="168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3"/>
                <w:szCs w:val="13"/>
                <w:color w:val="auto"/>
              </w:rPr>
            </w:pPr>
          </w:p>
        </w:tc>
        <w:tc>
          <w:tcPr>
            <w:tcW w:w="1340" w:type="dxa"/>
            <w:vAlign w:val="bottom"/>
          </w:tcPr>
          <w:p>
            <w:pPr>
              <w:jc w:val="center"/>
              <w:ind w:right="150"/>
              <w:spacing w:after="0" w:line="161"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176"/>
        </w:trPr>
        <w:tc>
          <w:tcPr>
            <w:tcW w:w="16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60" w:type="dxa"/>
            <w:vAlign w:val="bottom"/>
          </w:tcPr>
          <w:p>
            <w:pPr>
              <w:spacing w:after="0"/>
              <w:rPr>
                <w:sz w:val="15"/>
                <w:szCs w:val="15"/>
                <w:color w:val="auto"/>
              </w:rPr>
            </w:pPr>
          </w:p>
        </w:tc>
        <w:tc>
          <w:tcPr>
            <w:tcW w:w="134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3"/>
        </w:trPr>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60" w:type="dxa"/>
            <w:vAlign w:val="bottom"/>
          </w:tcPr>
          <w:p>
            <w:pPr>
              <w:spacing w:after="0"/>
              <w:rPr>
                <w:sz w:val="21"/>
                <w:szCs w:val="21"/>
                <w:color w:val="auto"/>
              </w:rPr>
            </w:pPr>
          </w:p>
        </w:tc>
        <w:tc>
          <w:tcPr>
            <w:tcW w:w="13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28"/>
        </w:trPr>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7,805,000</w:t>
            </w:r>
          </w:p>
        </w:tc>
      </w:tr>
      <w:tr>
        <w:trPr>
          <w:trHeight w:val="940"/>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7,579,000</w:t>
            </w:r>
          </w:p>
        </w:tc>
      </w:tr>
      <w:tr>
        <w:trPr>
          <w:trHeight w:val="945"/>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4,121,000</w:t>
            </w:r>
          </w:p>
        </w:tc>
      </w:tr>
      <w:tr>
        <w:trPr>
          <w:trHeight w:val="972"/>
        </w:trPr>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4,749,000</w:t>
            </w:r>
          </w:p>
        </w:tc>
      </w:tr>
    </w:tbl>
    <w:p>
      <w:pPr>
        <w:spacing w:after="0" w:line="225" w:lineRule="exact"/>
        <w:rPr>
          <w:sz w:val="20"/>
          <w:szCs w:val="20"/>
          <w:color w:val="auto"/>
        </w:rPr>
      </w:pPr>
    </w:p>
    <w:p>
      <w:pPr>
        <w:sectPr>
          <w:pgSz w:w="11900" w:h="16838" w:orient="portrait"/>
          <w:cols w:equalWidth="0" w:num="2">
            <w:col w:w="7860" w:space="100"/>
            <w:col w:w="3280"/>
          </w:cols>
          <w:pgMar w:left="320" w:top="121" w:right="339" w:bottom="1440" w:gutter="0" w:footer="0" w:header="0"/>
        </w:sectPr>
      </w:pPr>
    </w:p>
    <w:p>
      <w:pPr>
        <w:ind w:left="20"/>
        <w:spacing w:after="0"/>
        <w:tabs>
          <w:tab w:leader="none" w:pos="7180" w:val="left"/>
          <w:tab w:leader="none" w:pos="9200" w:val="left"/>
          <w:tab w:leader="none" w:pos="10420" w:val="left"/>
        </w:tabs>
        <w:rPr>
          <w:sz w:val="20"/>
          <w:szCs w:val="20"/>
          <w:color w:val="auto"/>
        </w:rPr>
      </w:pPr>
      <w:r>
        <w:rPr>
          <w:rFonts w:ascii="Times New Roman" w:cs="Times New Roman" w:eastAsia="Times New Roman" w:hAnsi="Times New Roman"/>
          <w:sz w:val="18"/>
          <w:szCs w:val="18"/>
          <w:color w:val="auto"/>
        </w:rPr>
        <w:t>Vested and expected to vest</w:t>
      </w:r>
      <w:r>
        <w:rPr>
          <w:sz w:val="20"/>
          <w:szCs w:val="20"/>
          <w:color w:val="auto"/>
        </w:rPr>
        <w:tab/>
      </w:r>
      <w:r>
        <w:rPr>
          <w:rFonts w:ascii="Times New Roman" w:cs="Times New Roman" w:eastAsia="Times New Roman" w:hAnsi="Times New Roman"/>
          <w:sz w:val="18"/>
          <w:szCs w:val="18"/>
          <w:color w:val="auto"/>
        </w:rPr>
        <w:t>266,000</w:t>
      </w:r>
      <w:r>
        <w:rPr>
          <w:sz w:val="20"/>
          <w:szCs w:val="20"/>
          <w:color w:val="auto"/>
        </w:rPr>
        <w:tab/>
      </w:r>
      <w:r>
        <w:rPr>
          <w:rFonts w:ascii="Times New Roman" w:cs="Times New Roman" w:eastAsia="Times New Roman" w:hAnsi="Times New Roman"/>
          <w:sz w:val="18"/>
          <w:szCs w:val="18"/>
          <w:color w:val="auto"/>
        </w:rPr>
        <w:t>0.54  $</w:t>
      </w:r>
      <w:r>
        <w:rPr>
          <w:sz w:val="20"/>
          <w:szCs w:val="20"/>
          <w:color w:val="auto"/>
        </w:rPr>
        <w:tab/>
      </w:r>
      <w:r>
        <w:rPr>
          <w:rFonts w:ascii="Times New Roman" w:cs="Times New Roman" w:eastAsia="Times New Roman" w:hAnsi="Times New Roman"/>
          <w:sz w:val="18"/>
          <w:szCs w:val="18"/>
          <w:color w:val="auto"/>
        </w:rPr>
        <w:t>4,749,000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2022, and 2021 the total fair value of $6.4 million, $5.8 million, and $7.3 million, respectively, in combined RSAs, RSUs, and PSUs vested.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of our Board of Directors authorized grants of stock options from approved stock incentive plans to certain Company officers and employees totaling 110,000, 1,031,000, and 226,000 shares in 2023, 2022, and 2021, respectively, with exercise prices equal to the stock prices on the respective grant dates.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our stock option activity for the years ended December 31, 2023, 2022, and 2021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80" w:type="dxa"/>
            <w:vAlign w:val="bottom"/>
          </w:tcPr>
          <w:p>
            <w:pPr>
              <w:spacing w:after="0"/>
              <w:rPr>
                <w:sz w:val="15"/>
                <w:szCs w:val="15"/>
                <w:color w:val="auto"/>
              </w:rPr>
            </w:pPr>
          </w:p>
        </w:tc>
        <w:tc>
          <w:tcPr>
            <w:tcW w:w="150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60" w:type="dxa"/>
            <w:vAlign w:val="bottom"/>
          </w:tcPr>
          <w:p>
            <w:pPr>
              <w:spacing w:after="0"/>
              <w:rPr>
                <w:sz w:val="15"/>
                <w:szCs w:val="15"/>
                <w:color w:val="auto"/>
              </w:rPr>
            </w:pPr>
          </w:p>
        </w:tc>
        <w:tc>
          <w:tcPr>
            <w:tcW w:w="1320" w:type="dxa"/>
            <w:vAlign w:val="bottom"/>
            <w:vMerge w:val="restart"/>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4"/>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5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5"/>
                <w:szCs w:val="15"/>
                <w:color w:val="auto"/>
              </w:rPr>
            </w:pPr>
          </w:p>
        </w:tc>
        <w:tc>
          <w:tcPr>
            <w:tcW w:w="1500" w:type="dxa"/>
            <w:vAlign w:val="bottom"/>
            <w:gridSpan w:val="4"/>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260" w:type="dxa"/>
            <w:vAlign w:val="bottom"/>
          </w:tcPr>
          <w:p>
            <w:pPr>
              <w:spacing w:after="0"/>
              <w:rPr>
                <w:sz w:val="15"/>
                <w:szCs w:val="15"/>
                <w:color w:val="auto"/>
              </w:rPr>
            </w:pPr>
          </w:p>
        </w:tc>
        <w:tc>
          <w:tcPr>
            <w:tcW w:w="132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5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80" w:type="dxa"/>
            <w:vAlign w:val="bottom"/>
          </w:tcPr>
          <w:p>
            <w:pPr>
              <w:spacing w:after="0"/>
              <w:rPr>
                <w:sz w:val="21"/>
                <w:szCs w:val="21"/>
                <w:color w:val="auto"/>
              </w:rPr>
            </w:pPr>
          </w:p>
        </w:tc>
        <w:tc>
          <w:tcPr>
            <w:tcW w:w="150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60" w:type="dxa"/>
            <w:vAlign w:val="bottom"/>
          </w:tcPr>
          <w:p>
            <w:pPr>
              <w:spacing w:after="0"/>
              <w:rPr>
                <w:sz w:val="21"/>
                <w:szCs w:val="21"/>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1,241,000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8,215,000</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4,039,000</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1,150,000</w:t>
            </w: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4,678,000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4,678,000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1,714,000</w:t>
            </w:r>
          </w:p>
        </w:tc>
        <w:tc>
          <w:tcPr>
            <w:tcW w:w="0" w:type="dxa"/>
            <w:vAlign w:val="bottom"/>
          </w:tcPr>
          <w:p>
            <w:pPr>
              <w:spacing w:after="0"/>
              <w:rPr>
                <w:sz w:val="1"/>
                <w:szCs w:val="1"/>
                <w:color w:val="auto"/>
              </w:rPr>
            </w:pPr>
          </w:p>
        </w:tc>
      </w:tr>
      <w:tr>
        <w:trPr>
          <w:trHeight w:val="486"/>
        </w:trPr>
        <w:tc>
          <w:tcPr>
            <w:tcW w:w="79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Other information concerning stock options for the years ended December 31 was as follows: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of options granted</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Intrinsic value of options exercised</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2,716,000</w:t>
            </w:r>
          </w:p>
        </w:tc>
        <w:tc>
          <w:tcPr>
            <w:tcW w:w="0" w:type="dxa"/>
            <w:vAlign w:val="bottom"/>
          </w:tcPr>
          <w:p>
            <w:pPr>
              <w:spacing w:after="0"/>
              <w:rPr>
                <w:sz w:val="1"/>
                <w:szCs w:val="1"/>
                <w:color w:val="auto"/>
              </w:rPr>
            </w:pPr>
          </w:p>
        </w:tc>
      </w:tr>
    </w:tbl>
    <w:p>
      <w:pPr>
        <w:spacing w:after="0" w:line="247" w:lineRule="exact"/>
        <w:rPr>
          <w:sz w:val="20"/>
          <w:szCs w:val="20"/>
          <w:color w:val="auto"/>
        </w:rPr>
      </w:pPr>
    </w:p>
    <w:p>
      <w:pPr>
        <w:ind w:right="1200"/>
        <w:spacing w:after="0" w:line="461" w:lineRule="auto"/>
        <w:rPr>
          <w:sz w:val="20"/>
          <w:szCs w:val="20"/>
          <w:color w:val="auto"/>
        </w:rPr>
      </w:pPr>
      <w:r>
        <w:rPr>
          <w:rFonts w:ascii="Times New Roman" w:cs="Times New Roman" w:eastAsia="Times New Roman" w:hAnsi="Times New Roman"/>
          <w:sz w:val="18"/>
          <w:szCs w:val="18"/>
          <w:color w:val="auto"/>
        </w:rPr>
        <w:t xml:space="preserve">Employees purchased common stock totaling 141,000, 95,000, and 87,000 shares in 2023, 2022, and 2021, respectively, through our ESPP. </w:t>
      </w:r>
      <w:r>
        <w:rPr>
          <w:rFonts w:ascii="Times New Roman" w:cs="Times New Roman" w:eastAsia="Times New Roman" w:hAnsi="Times New Roman"/>
          <w:sz w:val="18"/>
          <w:szCs w:val="18"/>
          <w:b w:val="1"/>
          <w:bCs w:val="1"/>
          <w:i w:val="1"/>
          <w:iCs w:val="1"/>
          <w:color w:val="auto"/>
        </w:rPr>
        <w:t>Stock Compensation Expense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weighted-average assumptions were used to determine the fair value of options: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80" w:type="dxa"/>
            <w:vAlign w:val="bottom"/>
            <w:tcBorders>
              <w:bottom w:val="single" w:sz="8" w:color="auto"/>
            </w:tcBorders>
          </w:tcPr>
          <w:p>
            <w:pPr>
              <w:spacing w:after="0"/>
              <w:rPr>
                <w:sz w:val="20"/>
                <w:szCs w:val="20"/>
                <w:color w:val="auto"/>
              </w:rPr>
            </w:pPr>
          </w:p>
        </w:tc>
      </w:tr>
      <w:tr>
        <w:trPr>
          <w:trHeight w:val="169"/>
        </w:trPr>
        <w:tc>
          <w:tcPr>
            <w:tcW w:w="2960" w:type="dxa"/>
            <w:vAlign w:val="bottom"/>
          </w:tcPr>
          <w:p>
            <w:pPr>
              <w:spacing w:after="0"/>
              <w:rPr>
                <w:sz w:val="14"/>
                <w:szCs w:val="14"/>
                <w:color w:val="auto"/>
              </w:rPr>
            </w:pPr>
          </w:p>
        </w:tc>
        <w:tc>
          <w:tcPr>
            <w:tcW w:w="1620" w:type="dxa"/>
            <w:vAlign w:val="bottom"/>
            <w:gridSpan w:val="3"/>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ESPP</w:t>
            </w:r>
          </w:p>
        </w:tc>
        <w:tc>
          <w:tcPr>
            <w:tcW w:w="100" w:type="dxa"/>
            <w:vAlign w:val="bottom"/>
          </w:tcPr>
          <w:p>
            <w:pPr>
              <w:spacing w:after="0"/>
              <w:rPr>
                <w:sz w:val="14"/>
                <w:szCs w:val="14"/>
                <w:color w:val="auto"/>
              </w:rPr>
            </w:pPr>
          </w:p>
        </w:tc>
        <w:tc>
          <w:tcPr>
            <w:tcW w:w="1620" w:type="dxa"/>
            <w:vAlign w:val="bottom"/>
            <w:gridSpan w:val="3"/>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ESPP</w:t>
            </w:r>
          </w:p>
        </w:tc>
        <w:tc>
          <w:tcPr>
            <w:tcW w:w="100" w:type="dxa"/>
            <w:vAlign w:val="bottom"/>
          </w:tcPr>
          <w:p>
            <w:pPr>
              <w:spacing w:after="0"/>
              <w:rPr>
                <w:sz w:val="14"/>
                <w:szCs w:val="14"/>
                <w:color w:val="auto"/>
              </w:rPr>
            </w:pPr>
          </w:p>
        </w:tc>
        <w:tc>
          <w:tcPr>
            <w:tcW w:w="1620" w:type="dxa"/>
            <w:vAlign w:val="bottom"/>
            <w:gridSpan w:val="3"/>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ESPP</w:t>
            </w:r>
          </w:p>
        </w:tc>
      </w:tr>
      <w:tr>
        <w:trPr>
          <w:trHeight w:val="241"/>
        </w:trPr>
        <w:tc>
          <w:tcPr>
            <w:tcW w:w="2960" w:type="dxa"/>
            <w:vAlign w:val="bottom"/>
          </w:tcPr>
          <w:p>
            <w:pPr>
              <w:spacing w:after="0"/>
              <w:rPr>
                <w:sz w:val="20"/>
                <w:szCs w:val="20"/>
                <w:color w:val="auto"/>
              </w:rPr>
            </w:pP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25"/>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options</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Years</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Years</w:t>
            </w:r>
          </w:p>
        </w:tc>
      </w:tr>
      <w:tr>
        <w:trPr>
          <w:trHeight w:val="243"/>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r>
      <w:tr>
        <w:trPr>
          <w:trHeight w:val="24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compensation expense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RSA, RSU, and PSU expense</w:t>
            </w:r>
          </w:p>
        </w:tc>
        <w:tc>
          <w:tcPr>
            <w:tcW w:w="2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option and ESPP option expense</w:t>
            </w:r>
          </w:p>
        </w:tc>
        <w:tc>
          <w:tcPr>
            <w:tcW w:w="2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stock compensation expense</w:t>
            </w:r>
          </w:p>
        </w:tc>
        <w:tc>
          <w:tcPr>
            <w:tcW w:w="2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11,277</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95</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1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Included in the total stock compensation expense, as applicable in each period, were expenses related to RSAs, RSUs, PSUs, and stock options issued in each respective year, as well as those issued in prior periods that continue to vest during the period, and compensation related to our ESPP. These amounts were recorded as stock compensation expense and were subject to our normal allocation of expenses to inventory costs and deferred preservation costs. We capitalized $724,000, $598,000, and $566,000 in the years ended December 31, 2023, 2022, and 2021, respectively, of the stock compensation expense into our inventory costs and deferred preservation costs.</w:t>
      </w:r>
    </w:p>
    <w:p>
      <w:pPr>
        <w:spacing w:after="0" w:line="15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2023 we had total unrecognized compensation expense of $9.1 million related to RSAs, RSUs, and PSUs and $3.1 million related to unvested stock options. As of December 31, 2023 this expense is expected to be recognized over a weighted-average period of 1.66 years for RSUs, 1.55 years for stock options, 0.51 years for PSUs, and 0.30 years for RSAs.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Loss Per Common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common share (in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340" w:type="dxa"/>
            <w:vAlign w:val="bottom"/>
          </w:tcPr>
          <w:p>
            <w:pPr>
              <w:spacing w:after="0"/>
              <w:rPr>
                <w:sz w:val="17"/>
                <w:szCs w:val="17"/>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r>
      <w:tr>
        <w:trPr>
          <w:trHeight w:val="230"/>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Net loss allocated to participating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allocated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Basic weighted-average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Basic loss per common share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340" w:type="dxa"/>
            <w:vAlign w:val="bottom"/>
          </w:tcPr>
          <w:p>
            <w:pPr>
              <w:spacing w:after="0"/>
              <w:rPr>
                <w:sz w:val="16"/>
                <w:szCs w:val="16"/>
                <w:color w:val="auto"/>
              </w:rPr>
            </w:pPr>
          </w:p>
        </w:tc>
        <w:tc>
          <w:tcPr>
            <w:tcW w:w="1140" w:type="dxa"/>
            <w:vAlign w:val="bottom"/>
          </w:tcPr>
          <w:p>
            <w:pPr>
              <w:jc w:val="right"/>
              <w:ind w:right="470"/>
              <w:spacing w:after="0" w:line="18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70"/>
              <w:spacing w:after="0" w:line="189"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70"/>
              <w:spacing w:after="0" w:line="189"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8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(14,834)</w:t>
            </w:r>
          </w:p>
        </w:tc>
      </w:tr>
      <w:tr>
        <w:trPr>
          <w:trHeight w:val="229"/>
        </w:trPr>
        <w:tc>
          <w:tcPr>
            <w:tcW w:w="20" w:type="dxa"/>
            <w:vAlign w:val="bottom"/>
            <w:tcBorders>
              <w:bottom w:val="single" w:sz="8" w:color="CCEEFF"/>
            </w:tcBorders>
          </w:tcPr>
          <w:p>
            <w:pPr>
              <w:spacing w:after="0"/>
              <w:rPr>
                <w:sz w:val="19"/>
                <w:szCs w:val="19"/>
                <w:color w:val="auto"/>
              </w:rPr>
            </w:pPr>
          </w:p>
        </w:tc>
        <w:tc>
          <w:tcPr>
            <w:tcW w:w="65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Net loss allocated to participating securities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Net loss allocated to common shareholders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Diluted weighted-average common shares outstanding</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3"/>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Diluted loss per common share</w:t>
            </w: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(0.48)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(0.38)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excluded stock options from the calculation of diluted weighted-average common shares outstanding if the per share value, including the sum of (i) the exercise price of the options and (ii) the amount of the compensation cost attributed to future services and not yet recognized, was greater than the average market price of the shares because the inclusion of these stock options would be antidilutive to loss per common share. For the years ended December 31, 2023, 2022, and 2021 all stock options and awards were excluded from the calculation of diluted weighted-average common shares outstanding as these would be antidilutive to the net loss.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two reportable segments organized according to our products and services: Medical Devices and Preservation Services. The Medical Devices segment includes external revenues from product sales of aortic stent grafts, On-X, surgical sealants, and other product revenues. Aortic stent grafts include aortic arch stent grafts, abdominal stent grafts, and synthetic vascular grafts. Aortic arch stent grafts include our E-vita Open NEO, E-vita Open Plus, AMDS, the NEXUS Products, and E-vita Thoracic 3G. Abdominal stent grafts include our E-xtra Design Engineering, E-nside, E-tegra, E-ventus BX, and E-liac products. Surgical sealants include BioGlue Surgical Adhesive products. The Preservation Services segment includes external services revenues from the preservation of cardiac and vascular tissues. There are no intersegment revenues.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measure of segment performance, as viewed by our management, is segment gross margin or net external revenues less cost of products and preservation services. We do not segregate assets by segment; therefore, asset information is excluded from the segment disclosures below.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revenues, cost of products and preservation services, and gross margins for our reportable segments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261,185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230,353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221,597</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77,239</w:t>
            </w:r>
          </w:p>
        </w:tc>
      </w:tr>
      <w:tr>
        <w:trPr>
          <w:trHeight w:val="22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298,836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products and preservation services: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65,196</w:t>
            </w:r>
          </w:p>
        </w:tc>
      </w:tr>
      <w:tr>
        <w:trPr>
          <w:trHeight w:val="229"/>
        </w:trPr>
        <w:tc>
          <w:tcPr>
            <w:tcW w:w="6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36,126</w:t>
            </w:r>
          </w:p>
        </w:tc>
      </w:tr>
      <w:tr>
        <w:trPr>
          <w:trHeight w:val="248"/>
        </w:trPr>
        <w:tc>
          <w:tcPr>
            <w:tcW w:w="6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cost of products and preservation services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101,322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Medical devices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156,401</w:t>
            </w: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41,113</w:t>
            </w:r>
          </w:p>
        </w:tc>
      </w:tr>
      <w:tr>
        <w:trPr>
          <w:trHeight w:val="223"/>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gross margin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229,176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202,523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197,514</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0"/>
        </w:trPr>
        <w:tc>
          <w:tcPr>
            <w:tcW w:w="8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revenues by product for the years ended December 31, 2023, 2022, and 2021 were as follows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6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Aortic stent grafts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85,387</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On-X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57,363</w:t>
            </w: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Surgical sealants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70,714</w:t>
            </w:r>
          </w:p>
        </w:tc>
      </w:tr>
      <w:tr>
        <w:trPr>
          <w:trHeight w:val="230"/>
        </w:trPr>
        <w:tc>
          <w:tcPr>
            <w:tcW w:w="6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r>
      <w:tr>
        <w:trPr>
          <w:trHeight w:val="223"/>
        </w:trPr>
        <w:tc>
          <w:tcPr>
            <w:tcW w:w="66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261,185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230,353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221,597</w:t>
            </w: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Preservation services: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77,239</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by geographic location attributed to countries based on the location of the customer for the years ended December 31, 2023, 2022, and 2021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151,151</w:t>
            </w: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152,676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147,685</w:t>
            </w:r>
          </w:p>
        </w:tc>
      </w:tr>
      <w:tr>
        <w:trPr>
          <w:trHeight w:val="248"/>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313,789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298,836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Revenues attributed to customers in Germany accounted for 8% of total revenues for the year ended December 31, 2023, 9% for the year ended </w:t>
      </w:r>
      <w:r>
        <w:rPr>
          <w:rFonts w:ascii="Times New Roman" w:cs="Times New Roman" w:eastAsia="Times New Roman" w:hAnsi="Times New Roman"/>
          <w:sz w:val="18"/>
          <w:szCs w:val="18"/>
          <w:color w:val="212529"/>
        </w:rPr>
        <w:t>December 31, 2022, and 10% for the year ended December 31, 2021</w:t>
      </w:r>
      <w:r>
        <w:rPr>
          <w:rFonts w:ascii="Times New Roman" w:cs="Times New Roman" w:eastAsia="Times New Roman" w:hAnsi="Times New Roman"/>
          <w:sz w:val="18"/>
          <w:szCs w:val="18"/>
          <w:color w:val="000000"/>
        </w:rPr>
        <w: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2023 and 2022 $17.5 million and $18.0 million of our long-lived assets were held in the US, respectively, where the corporate headquarters and a portion of our manufacturing facilities are located. Our long-lived international assets were $20.9 million and $20.7 million as of December 31, 2023 and 2022, respectively, of which 97% were located in Hechingen, Germany. At December 31, 2023 and 2022 $247.3 million and $243.6 million, respectively, of our goodwill was allocated entirely to our Medical Devices segment.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18, 2024 we entered into a credit and guaranty agreement with Ares Management Credit funds for $350.0 million of senior secured, interest-only, credit facilities, consisting of a $190.0 million term loan facility (the “Initial Term Loan Facility”), a $100.0 million delayed draw term loan facility (the “Delayed Draw Term Loan Facility” and, together with the Initial Term Loan Facility, the “Term Loan Facilities”) and a $60.0 million “senior-priority” revolving credit facility (the “Revolving Credit Facility” and, together with the Term Loan Facilities, the “Credit Facilities”) which has a priority claim ahead of the other secured facilities. The final scheduled maturity date of the Credit Facilities is January 18, 2030. There are no scheduled repayments of principal required to be made prior to the final maturity date. The Credit Facilities are secured by a security interest in substantially all existing and after-acquired real and personal property (subject to certain exceptions and exclusions) of us and the Guarantors.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closing, we borrowed $190.0 million under the Initial Term Loan Facility and $30.0 million under the Revolving Credit Facility. The proceeds of the initial borrowings were used along with cash on hand to pay off our existing debt related to our Credit Agreement and related fees and expenses. The $30.0 million of undrawn availability under the Revolving Credit Facility may be drawn for working capital, capital expenditures, and other general corporate purposes. The proceeds of borrowings under the Delayed Draw Term Loan Facility may be used solely to repurchase or repay our outstanding 4.25% Convertible Senior Notes due July 1, 2025 and to pay related fees and expenses. Subject to the satisfaction of a specified maximum total net leverage ratio and other customary conditions, we may borrow under the Delayed Draw Term Loan Facility at any time and from time to time on or prior to the maturity date of the convertible bonds on July 1, 2025. Loans borrowed under the Delayed Draw Term Loan Facility have the same terms as the loans under the Initial Term Loan Facility.</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Credit Facilities contain certain customary affirmative and negative covenants, including covenants that limit our ability and the ability of our subsidiaries to, among other things, grant liens, incur debt, dispose of assets, make loans and investments, make acquisitions, make certain restricted payments (including cash dividends), merge or consolidate, change business or accounting or reporting practices, in each case subject to customary exceptions for a credit facility of this size and type. The covenants include a financial maintenance that requires the company’s total net leverage ratio, as defined in the agreement, to be not greater than 6.25x for the test periods from the second quarter of fiscal year 2024 through the fourth quarter of fiscal year 2024 and not greater than 5.75x from the first quarter of fiscal year 2025 and thereafter.</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Revolving Credit Facilities bear interest, at our option, at a floating annual rate equal to either the base rate, plus a margin of 3.0%, or Adjusted Term SOFR Rate, plus a margin of 4.0%. The Term Loan Facilities initially bear interest, at our option, at a floating annual rate equal to either the base rate plus a margin of 5.5%, or Adjusted Term SOFR Rate plus a margin of 6.5%. If, after the second quarter of fiscal year 2025 the company reports Total Net Leverage, as defined in the credit facilities, of less than 3.75x the interest margins applicable to the Term Loan Facilities will be reduced by 25 basis points, to 5.25% and 6.25%, for base rate and Adjusted Term SOFR loans,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(“Disclosure Controls”) as such term is defined under Rule 13a-15(e) promulgated under the Securities Exchange Act of 1934. These Disclosure Controls are designed to ensure that information required to be disclosed in our Exchange Act reports is recorded, processed, summarized, and reported within the time periods specified in the Commission’s rules and forms, and that such information is accumulated and communicated to management, including the Chief Executive Officer (“CEO”) and Chief Financial Officer (“CFO”), as appropriate, to allow timely decisions regarding required disclosures.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management, including our President and CEO and our CFO and Executive Vice President, Finance do not expect that its Disclosure Controls will prevent all error and all fraud. A control system, no matter how well conceived and operated, can provide only reasonable, not absolute, assurance that the objectives of the control system are met. The design of any system of controls is based in part upon certain assumptions about the likelihood of future events, and there can be no assurance that any design will succeed in achieving its stated goals under all potential future conditions.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 can occur because of simple error or mistake. Our Disclosure Controls have been designed to provide reasonable assurance of achieving their objectives.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Controls over Financial Reporting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utilizes the criteria set forth in “Internal Control-Integrated Framework (2013)” issued by the Committee of Sponsoring Organizations of the Treadway Commission to evaluate the effectiveness of its Disclosure Controls over financial reporting. Based upon the most recent Disclosure Controls evaluation conducted by management with the participation of the CEO and CFO, as of December 31, 2023, the CEO and CFO have concluded that our Disclosure Controls were effective at the reasonable assurance level to satisfy their objectives and to ensure that the information required to be disclosed by us in our periodic reports is accumulated and communicated to management, including the CEO and CFO, as appropriate to allow timely decisions regarding disclosure and is recorded, processed, summarized, and reported within the time periods specified in the Securities and Exchange Commission’s rules and forms.</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report called for by Item 308(a) of Regulation S-K is incorporated herein by reference to “Management’s Report on Internal Control over Financial Reporting” on page </w:t>
      </w:r>
      <w:r>
        <w:rPr>
          <w:rFonts w:ascii="Times New Roman" w:cs="Times New Roman" w:eastAsia="Times New Roman" w:hAnsi="Times New Roman"/>
          <w:sz w:val="18"/>
          <w:szCs w:val="18"/>
          <w:u w:val="single" w:color="auto"/>
          <w:color w:val="0000FF"/>
        </w:rPr>
        <w:t>56</w:t>
      </w:r>
      <w:r>
        <w:rPr>
          <w:rFonts w:ascii="Times New Roman" w:cs="Times New Roman" w:eastAsia="Times New Roman" w:hAnsi="Times New Roman"/>
          <w:sz w:val="18"/>
          <w:szCs w:val="18"/>
          <w:color w:val="auto"/>
        </w:rPr>
        <w:t xml:space="preserve"> of this report.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attestation report called for by Item 308(b) of Regulation S-K is incorporated herein by reference to “Report of Independent Registered Public Accounting Firm” on page </w:t>
      </w:r>
      <w:r>
        <w:rPr>
          <w:rFonts w:ascii="Times New Roman" w:cs="Times New Roman" w:eastAsia="Times New Roman" w:hAnsi="Times New Roman"/>
          <w:sz w:val="18"/>
          <w:szCs w:val="18"/>
          <w:u w:val="single" w:color="auto"/>
          <w:color w:val="0000FF"/>
        </w:rPr>
        <w:t>57</w:t>
      </w:r>
      <w:r>
        <w:rPr>
          <w:rFonts w:ascii="Times New Roman" w:cs="Times New Roman" w:eastAsia="Times New Roman" w:hAnsi="Times New Roman"/>
          <w:sz w:val="18"/>
          <w:szCs w:val="18"/>
          <w:color w:val="auto"/>
        </w:rPr>
        <w:t xml:space="preserve"> of this report.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2023 there were no changes in our internal control over financial reporting that materially affected, or that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14, 2023 Andrew Green, our Vice President, Regulatory Affairs, adopted a Rule 10b5-1 trading arrangement, pursuant to which he may sell up to 5,456 shares of the Company's common stock. The trading arrangement is intended to satisfy the affirmative defense of Rule 10b5-1(c) under the Exchange Act. The duration of the trading arrangement is from March 14, 2024 to June 14,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other directors or officers (as defined in Rule 16a-1(f) under the Exchange Act) adopted or terminated the contracts, instructions or written plans for the purchase or sale of the Company’s securities during the quarter ended December 31,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response to Item 10 is incorporated herein by reference to the information to be set forth in the definitive Proxy Statement for the Annual Meeting of Stockholders to be filed with the Commission within 120 days after December 31, 2023, with the exception of information concerning executive officers listed below.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lists the executive officers of Artivion as of December 31, 2023 and their ages, positions with Artivion, and the dates from which they have continually served as executive officers with Artivion. Each of the executive officers of Artivion was elected by the Board of Directors to serve until the Board of Directors’ meeting immediately following the next annual meeting of shareholders or until his or her earlier removal by the Board of Directors or his or her resignation.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Service as</w:t>
            </w:r>
          </w:p>
        </w:tc>
        <w:tc>
          <w:tcPr>
            <w:tcW w:w="96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Age</w:t>
            </w:r>
          </w:p>
        </w:tc>
        <w:tc>
          <w:tcPr>
            <w:tcW w:w="62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43"/>
        </w:trPr>
        <w:tc>
          <w:tcPr>
            <w:tcW w:w="2340" w:type="dxa"/>
            <w:vAlign w:val="bottom"/>
            <w:tcBorders>
              <w:bottom w:val="single" w:sz="8" w:color="auto"/>
            </w:tcBorders>
            <w:vMerge w:val="continue"/>
          </w:tcPr>
          <w:p>
            <w:pPr>
              <w:spacing w:after="0"/>
              <w:rPr>
                <w:sz w:val="21"/>
                <w:szCs w:val="21"/>
                <w:color w:val="auto"/>
              </w:rPr>
            </w:pPr>
          </w:p>
        </w:tc>
        <w:tc>
          <w:tcPr>
            <w:tcW w:w="16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960" w:type="dxa"/>
            <w:vAlign w:val="bottom"/>
            <w:tcBorders>
              <w:bottom w:val="single" w:sz="8" w:color="auto"/>
            </w:tcBorders>
            <w:vMerge w:val="continue"/>
          </w:tcPr>
          <w:p>
            <w:pPr>
              <w:spacing w:after="0"/>
              <w:rPr>
                <w:sz w:val="21"/>
                <w:szCs w:val="21"/>
                <w:color w:val="auto"/>
              </w:rPr>
            </w:pPr>
          </w:p>
        </w:tc>
        <w:tc>
          <w:tcPr>
            <w:tcW w:w="62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 Patrick Mackin</w:t>
            </w: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2014</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57</w:t>
            </w: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Lance A. Berry, CPA</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Since 2023</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51</w:t>
            </w: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Executive Vice President, Finance</w:t>
            </w:r>
          </w:p>
        </w:tc>
        <w:tc>
          <w:tcPr>
            <w:tcW w:w="0" w:type="dxa"/>
            <w:vAlign w:val="bottom"/>
          </w:tcPr>
          <w:p>
            <w:pPr>
              <w:spacing w:after="0"/>
              <w:rPr>
                <w:sz w:val="1"/>
                <w:szCs w:val="1"/>
                <w:color w:val="auto"/>
              </w:rPr>
            </w:pPr>
          </w:p>
        </w:tc>
      </w:tr>
      <w:tr>
        <w:trPr>
          <w:trHeight w:val="27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John E. Davis</w:t>
            </w: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2015</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59</w:t>
            </w: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Global Sales and Marketing</w:t>
            </w:r>
          </w:p>
        </w:tc>
        <w:tc>
          <w:tcPr>
            <w:tcW w:w="0" w:type="dxa"/>
            <w:vAlign w:val="bottom"/>
          </w:tcPr>
          <w:p>
            <w:pPr>
              <w:spacing w:after="0"/>
              <w:rPr>
                <w:sz w:val="1"/>
                <w:szCs w:val="1"/>
                <w:color w:val="auto"/>
              </w:rPr>
            </w:pPr>
          </w:p>
        </w:tc>
      </w:tr>
      <w:tr>
        <w:trPr>
          <w:trHeight w:val="23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Matthew A. Getz</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Since 2019</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55</w:t>
            </w: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Human Resources</w:t>
            </w:r>
          </w:p>
        </w:tc>
        <w:tc>
          <w:tcPr>
            <w:tcW w:w="0" w:type="dxa"/>
            <w:vAlign w:val="bottom"/>
          </w:tcPr>
          <w:p>
            <w:pPr>
              <w:spacing w:after="0"/>
              <w:rPr>
                <w:sz w:val="1"/>
                <w:szCs w:val="1"/>
                <w:color w:val="auto"/>
              </w:rPr>
            </w:pPr>
          </w:p>
        </w:tc>
      </w:tr>
      <w:tr>
        <w:trPr>
          <w:trHeight w:val="27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Andrew M. Green</w:t>
            </w: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2021</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55</w:t>
            </w: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Regulatory Affairs</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Jean F. Holloway, Esq.</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Since 2015</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66</w:t>
            </w: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General Counsel, Chief Compliance Officer, and Corporate</w:t>
            </w:r>
          </w:p>
        </w:tc>
        <w:tc>
          <w:tcPr>
            <w:tcW w:w="0" w:type="dxa"/>
            <w:vAlign w:val="bottom"/>
          </w:tcPr>
          <w:p>
            <w:pPr>
              <w:spacing w:after="0"/>
              <w:rPr>
                <w:sz w:val="1"/>
                <w:szCs w:val="1"/>
                <w:color w:val="auto"/>
              </w:rPr>
            </w:pPr>
          </w:p>
        </w:tc>
      </w:tr>
      <w:tr>
        <w:trPr>
          <w:trHeight w:val="234"/>
        </w:trPr>
        <w:tc>
          <w:tcPr>
            <w:tcW w:w="2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Secretary</w:t>
            </w:r>
          </w:p>
        </w:tc>
        <w:tc>
          <w:tcPr>
            <w:tcW w:w="0" w:type="dxa"/>
            <w:vAlign w:val="bottom"/>
          </w:tcPr>
          <w:p>
            <w:pPr>
              <w:spacing w:after="0"/>
              <w:rPr>
                <w:sz w:val="1"/>
                <w:szCs w:val="1"/>
                <w:color w:val="auto"/>
              </w:rPr>
            </w:pPr>
          </w:p>
        </w:tc>
      </w:tr>
      <w:tr>
        <w:trPr>
          <w:trHeight w:val="27"/>
        </w:trPr>
        <w:tc>
          <w:tcPr>
            <w:tcW w:w="2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D. Horton, CPA</w:t>
            </w: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2006</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53</w:t>
            </w: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Chief Accounting Officer</w:t>
            </w:r>
          </w:p>
        </w:tc>
        <w:tc>
          <w:tcPr>
            <w:tcW w:w="0" w:type="dxa"/>
            <w:vAlign w:val="bottom"/>
          </w:tcPr>
          <w:p>
            <w:pPr>
              <w:spacing w:after="0"/>
              <w:rPr>
                <w:sz w:val="1"/>
                <w:szCs w:val="1"/>
                <w:color w:val="auto"/>
              </w:rPr>
            </w:pPr>
          </w:p>
        </w:tc>
      </w:tr>
      <w:tr>
        <w:trPr>
          <w:trHeight w:val="229"/>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Rochelle L. Maney</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Since 2021</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47</w:t>
            </w: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Global Quality</w:t>
            </w:r>
          </w:p>
        </w:tc>
        <w:tc>
          <w:tcPr>
            <w:tcW w:w="0" w:type="dxa"/>
            <w:vAlign w:val="bottom"/>
          </w:tcPr>
          <w:p>
            <w:pPr>
              <w:spacing w:after="0"/>
              <w:rPr>
                <w:sz w:val="1"/>
                <w:szCs w:val="1"/>
                <w:color w:val="auto"/>
              </w:rPr>
            </w:pPr>
          </w:p>
        </w:tc>
      </w:tr>
      <w:tr>
        <w:trPr>
          <w:trHeight w:val="250"/>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Marshall S. Stanton, M.D.</w:t>
            </w:r>
          </w:p>
        </w:tc>
        <w:tc>
          <w:tcPr>
            <w:tcW w:w="16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2021</w:t>
            </w:r>
          </w:p>
        </w:tc>
        <w:tc>
          <w:tcPr>
            <w:tcW w:w="9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67</w:t>
            </w:r>
          </w:p>
        </w:tc>
        <w:tc>
          <w:tcPr>
            <w:tcW w:w="6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Senior Vice President, Clinical Research and Chief Medical Officer</w:t>
            </w:r>
          </w:p>
        </w:tc>
        <w:tc>
          <w:tcPr>
            <w:tcW w:w="0" w:type="dxa"/>
            <w:vAlign w:val="bottom"/>
          </w:tcPr>
          <w:p>
            <w:pPr>
              <w:spacing w:after="0"/>
              <w:rPr>
                <w:sz w:val="1"/>
                <w:szCs w:val="1"/>
                <w:color w:val="auto"/>
              </w:rPr>
            </w:pPr>
          </w:p>
        </w:tc>
      </w:tr>
      <w:tr>
        <w:trPr>
          <w:trHeight w:val="270"/>
        </w:trPr>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C. Thomson</w:t>
            </w:r>
          </w:p>
        </w:tc>
        <w:tc>
          <w:tcPr>
            <w:tcW w:w="16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Since 2023</w:t>
            </w:r>
          </w:p>
        </w:tc>
        <w:tc>
          <w:tcPr>
            <w:tcW w:w="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54</w:t>
            </w: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Research and Development</w:t>
            </w: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Florian Tyrs</w:t>
            </w:r>
          </w:p>
        </w:tc>
        <w:tc>
          <w:tcPr>
            <w:tcW w:w="16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Since 2023</w:t>
            </w:r>
          </w:p>
        </w:tc>
        <w:tc>
          <w:tcPr>
            <w:tcW w:w="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w:t>
            </w: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Vice President, Global Operations</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J. Patrick Mackin </w:t>
      </w:r>
      <w:r>
        <w:rPr>
          <w:rFonts w:ascii="Times New Roman" w:cs="Times New Roman" w:eastAsia="Times New Roman" w:hAnsi="Times New Roman"/>
          <w:sz w:val="18"/>
          <w:szCs w:val="18"/>
          <w:color w:val="auto"/>
        </w:rPr>
        <w:t>assumed the position of President and Chief Executive Officer in September 2014, was appointed to the Board of Directors in October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and was appointed Chairman in May 2015. Mr. Mackin has more than 30 years of experience in the medical device industry. Prior to joining Artivion, Mr. Mackin served as President of Cardiac Rhythm Disease Management, the then largest operating division of Medtronic, Inc. At Medtronic, he previously held the positions of Vice President, Vascular, Western Europe and Vice President and General Manager, Endovascular Business Unit. Prior to joining Medtronic in 2002, Mr. Mackin worked for six years at Genzyme, Inc. serving as Senior Vice President and General Manager for the Cardiovascular Surgery Business Unit and as Director of Sales, Surgical Products division. Before joining Genzyme, Mr. Mackin spent four years at Deknatel/Snowden-Pencer, Inc. in various roles and three years as a First Lieutenant in the US Army. Mr. Mackin received an MBA from Northwestern University’s Kellogg Graduate School of Management and is a graduate of the US Military Academy at West Point.</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Lance A. Berry, CPA </w:t>
      </w:r>
      <w:r>
        <w:rPr>
          <w:rFonts w:ascii="Times New Roman" w:cs="Times New Roman" w:eastAsia="Times New Roman" w:hAnsi="Times New Roman"/>
          <w:sz w:val="18"/>
          <w:szCs w:val="18"/>
          <w:color w:val="auto"/>
        </w:rPr>
        <w:t>commenced service as Chief Financial Officer and Executive Vice President, Finance of Artivion on December 4, 2023. Prior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Mr. Berry served as the Executive Vice President, Chief Financial and Operations Officer of Wright Medical Group N.V., from January 2019 until November 2020, when Wright was acquired by Stryker NV. Before becoming Executive Vice President, Chief Financial and Operations Officer, Mr. Berry served in the following roles at Wright Medical: Senior Vice President, Chief Financial Officer (2009-2018) and Vice President, Corporate Controller (2002-2009). Mr. Berry was employed as a Certified Public Accountant with Arthur Anderson from 1995 to 2002. Mr. Berry currently serves on the Boards of two public companies, Treace Medical Concepts (NASDAQ: TCMI) and Vapotherm (NYSE: VAPO). Mr. Berry received both his Masters and Bachelor’s in Accounting from the University of Mississippi.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b w:val="1"/>
          <w:bCs w:val="1"/>
          <w:color w:val="auto"/>
        </w:rPr>
        <w:t xml:space="preserve">John E. Davis </w:t>
      </w:r>
      <w:r>
        <w:rPr>
          <w:rFonts w:ascii="Times New Roman" w:cs="Times New Roman" w:eastAsia="Times New Roman" w:hAnsi="Times New Roman"/>
          <w:sz w:val="18"/>
          <w:szCs w:val="18"/>
          <w:color w:val="auto"/>
        </w:rPr>
        <w:t>was appointed to the position of Senior Vice President, Global Sales and Marketing in September 2015. He has over 25 years of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Sales and Marketing and Executive Leadership. Prior to joining Artivion, he served as Executive Vice President, Global Sales and Marketing at CorMatrix, a privately held medical device company creating innovative biomaterial devices to repair damaged heart tissue from March 2012 to September 2015. Prior to CorMatrix, he served four years as a Vice President of Sales in the Cardiac Rhythm Management business at St. Jude Medical, now part of Abbott Laboratories. Before St. Jude Medical, he served 14 years with Medtronic in the Cardiac Rhythm Disease Management division including 7 years as Vice President Southeast. In his early career he held sales and leadership roles with Roche Diagnostics and Ciba-Geigy Corporation. Mr. Davis received a Bachelor’s degree from Western Carolina University.</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Matthew A. Getz </w:t>
      </w:r>
      <w:r>
        <w:rPr>
          <w:rFonts w:ascii="Times New Roman" w:cs="Times New Roman" w:eastAsia="Times New Roman" w:hAnsi="Times New Roman"/>
          <w:sz w:val="18"/>
          <w:szCs w:val="18"/>
          <w:color w:val="auto"/>
        </w:rPr>
        <w:t>was appointed to the position of Vice President, Human Resources in August 2019. Mr. Getz brings more than 25 years of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leadership experience in media, banking, and technology industries, and oversees the company’s global human resources practice and strategy. Prior to joining Artivion, he served as the Chief Human Resources Officer of Encompass Digital Media and has held senior human resources roles at SunTrust Bank, Xiocom Wireless, Earthlink and BlessingWhite. Mr. Getz holds an MBA with a concentration in organizational management and international business from Georgia State University and a BBA in accounting from Mercer University.</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Andrew M. Green </w:t>
      </w:r>
      <w:r>
        <w:rPr>
          <w:rFonts w:ascii="Times New Roman" w:cs="Times New Roman" w:eastAsia="Times New Roman" w:hAnsi="Times New Roman"/>
          <w:sz w:val="18"/>
          <w:szCs w:val="18"/>
          <w:color w:val="auto"/>
        </w:rPr>
        <w:t>was appointed to the position of Vice President, Regulatory affairs in March 2021. Mr. Green has more than 30 years of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quality, and business experience in the medical device and biologics industry. More specifically, he spent 3 years at the FDA as a scientific reviewer in the cardiovascular devices branch, almost 10 years at Novoste Corporation as the Vice President of Regulatory, Clinical, and Quality, and five years providing regulatory, clinical, and quality consulting services to medical device companies. Mr. Green also has broad business experience, having served as the President and COO of CorMatrix Cardiovascular for several years before ultimately serving as its CEO. After the acquisition of the CorMatrix assets by Aziyo Biologics, Mr. Green continued with Aziyo in several roles, including as the Executive Vice President of Regulatory and Medical Affairs. He started his career serving as a combat medic in the US Army and Army Reserves. Mr. Green has a Bachelor in Biological Sciences and a Master's in Bioengineering, both from Clemson University.</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Jean F. Holloway, Esq. </w:t>
      </w:r>
      <w:r>
        <w:rPr>
          <w:rFonts w:ascii="Times New Roman" w:cs="Times New Roman" w:eastAsia="Times New Roman" w:hAnsi="Times New Roman"/>
          <w:sz w:val="18"/>
          <w:szCs w:val="18"/>
          <w:color w:val="auto"/>
        </w:rPr>
        <w:t>was appointed to the position of Senior Vice President, General Counsel, Chief Compliance Officer, and Secretary in January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She previously served as Vice President, General Counsel, and Secretary beginning in April 2015 and was subsequently appointed to the additional position of Chief Compliance Officer in October 2015. Prior to joining Artivion, she held various positions, including Vice President, General Counsel and Secretary of Bard, Deputy General Counsel, Medtronic, Inc., Vice President, Litigation, Boston Scientific, Inc., and Deputy General Counsel, Guidant Corporation. Ms. Holloway also spent nearly 15 years in private practice as a trial lawyer at Dorsey &amp; Whitney, Faegre &amp; Benson and Sidley &amp; Austin. She clerked for two years on the Seventh Circuit Court of Appeals for the Honorable Luther M. Swygert. Ms. Holloway has a JD/MBA from the University of Chicago and two undergraduate degrees from Yale University in engineering and political science.</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Amy D. Horton, CPA </w:t>
      </w:r>
      <w:r>
        <w:rPr>
          <w:rFonts w:ascii="Times New Roman" w:cs="Times New Roman" w:eastAsia="Times New Roman" w:hAnsi="Times New Roman"/>
          <w:sz w:val="18"/>
          <w:szCs w:val="18"/>
          <w:color w:val="auto"/>
        </w:rPr>
        <w:t>was appointed to the position of Vice President and Chief Accounting Officer in January 2016 and had previously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of Artivion since 2006. Ms. Horton has been with the Company since January 1998, serving as Controller from April 2000 to August 2006, and as Assistant Controller prior to that. From 1993 to 1998, Ms. Horton was employed as a Certified Public Accountant with Ernst &amp; Young, LLP. She received her Bachelor's and Master’s degrees in Accounting from Brigham Young University in Provo, Utah.</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Rochelle L. Maney </w:t>
      </w:r>
      <w:r>
        <w:rPr>
          <w:rFonts w:ascii="Times New Roman" w:cs="Times New Roman" w:eastAsia="Times New Roman" w:hAnsi="Times New Roman"/>
          <w:sz w:val="18"/>
          <w:szCs w:val="18"/>
          <w:color w:val="auto"/>
        </w:rPr>
        <w:t>was appointed to the position of Vice President, Global Quality in March of 2021. She has over 20 years of experience in the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device and tissue industries and has been with the Company since 2000 serving in multiple leadership roles, most recently as Vice President, Quality for the Kennesaw, Georgia manufacturing facility. She is the lead executive for Quality in strategy, diligence, and acquisitions and is responsible for all quality functions at the Company’s three manufacturing facilities in Georgia, Texas, and Hechingen, Germany. Ms. Maney is a member of the American Society of Quality and serves on the Quality Council for the American Association of Tissue Banks. She received her Bachelor of Science in Biology degree from Berry College.</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Marshall S. Stanton, MD </w:t>
      </w:r>
      <w:r>
        <w:rPr>
          <w:rFonts w:ascii="Times New Roman" w:cs="Times New Roman" w:eastAsia="Times New Roman" w:hAnsi="Times New Roman"/>
          <w:sz w:val="18"/>
          <w:szCs w:val="18"/>
          <w:color w:val="auto"/>
        </w:rPr>
        <w:t>was appointed to the position of Senior Vice President, Clinical Research and Chief Medical Officer in March of 2021.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Stanton has over 20 years of experience in the medical device industry and over 30 years of advancing healthcare. Before joining Artivion, he held various senior management positions at Medtronic including Senior Vice President and President of the Pain Therapies Business Unit, General Manager of the Implantable Defibrillator Business, and leader of the Clinical Research department of the Cardiac and Vascular Group. While there, he served on the leadership team of the Medtronic Women’s Network. Prior to Medtronic, he practiced cardiology for a decade at the Mayo Clinic. Dr. Stanton received his MD degree from the Medical College of Virginia and Bachelor of Arts from the University of Pennsylvania.</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Robert C. Thomson, Ph.D. </w:t>
      </w:r>
      <w:r>
        <w:rPr>
          <w:rFonts w:ascii="Times New Roman" w:cs="Times New Roman" w:eastAsia="Times New Roman" w:hAnsi="Times New Roman"/>
          <w:sz w:val="18"/>
          <w:szCs w:val="18"/>
          <w:color w:val="auto"/>
        </w:rPr>
        <w:t>was appointed to the position of Vice President, Research and Development in June of 2023. Dr. Thomson brings more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27 years of diverse R&amp;D, technology, marketing, and business experience in the medical device industry. During his career at W.L. Gore, he successfully developed and globally commercialized several cardiovascular devices, including combination products. Dr. Thomson served as a senior director leading Peripheral vascular device R&amp;D teams and businesses for several years before transitioning into the development of Aortic therapies. During this period, he held a senior management position leading teams focused on the development of an endovascular product portfolio. Prior to joining Artivion, he most recently led cardiac and vascular R&amp;D and service development teams while also serving on an executive medical device review board. Dr. Thomson has held 2 US patents and has authored 15 peer-reviewed scientific publications. He received his Ph.D. in Biomedical Engineering from Rice University, where he currently serves as a Bioengineering Advisory Board Member and holds a Bachelor of Science in Chemical Engineering from the University of Edinburgh in Scotland.</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Florian Tyrs </w:t>
      </w:r>
      <w:r>
        <w:rPr>
          <w:rFonts w:ascii="Times New Roman" w:cs="Times New Roman" w:eastAsia="Times New Roman" w:hAnsi="Times New Roman"/>
          <w:sz w:val="18"/>
          <w:szCs w:val="18"/>
          <w:color w:val="auto"/>
        </w:rPr>
        <w:t>was appointed to the position of Vice President, Global Operations in June 2023. Mr. Tyrs has more than 17 years of experience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medical device industry. Mr. Tyrs has been with Artivion since March 2006. He has served as General Manager of the Hechingen Site since July 2020. Mr. Tyrs has also served as a Vice President Hechingen Operations from January 2023 to June 2023; as Director Operations from January 2018 to December 2022; as Director Production from May 2011 to December 2017; as Director Facility Management and Manufacturing Engineering from November 2011 to December 2017, as Deputy Director Production from April 2010 to April 2011, as Lean Production Manager from April 2009 to April 2011. From March 2006 to March 2009, Mr. Tyrs was employed as an R&amp;D Engineer for the Endovascular Stentgraft Portfolio of Artivion. Mr. Tyrs holds a Diploma in Pharmaceutical Engineering of the State University of Applied Science in Albstadt-Sigmaringen, Germany.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response to Item 11 is incorporated herein by reference to the information to be set forth in the definitive Proxy Statement for the Annual Meeting of Stockholders to be filed with the Commission within 120 days after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response to Item 12 is incorporated herein by reference to the information to be set forth in the definitive Proxy Statement for the Annual Meeting of Stockholders to be filed with the Commission within 120 days after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response to Item 13 is incorporated herein by reference to the information to be set forth in the definitive Proxy Statement for the Annual Meeting of Stockholders to be filed with the Commission within 120 days after December 31, 2023.</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response to Item 14 is incorporated herein by reference to the information to be set forth in the definitive Proxy Statement for the Annual Meeting of Stockholders to be filed with the Commission within 120 days after December 31, 2023.</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consolidated financial statements of Artivion, Inc. and subsidiaries are filed as part of this report under Item 8 – Financial Statements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Supplementary Data:</w:t>
      </w:r>
    </w:p>
    <w:p>
      <w:pPr>
        <w:spacing w:after="0" w:line="1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color w:val="auto"/>
        </w:rPr>
        <w:t>1.</w:t>
        <w:tab/>
        <w:t>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Consolidated Financial Statements begin on page </w:t>
      </w:r>
      <w:r>
        <w:rPr>
          <w:rFonts w:ascii="Times New Roman" w:cs="Times New Roman" w:eastAsia="Times New Roman" w:hAnsi="Times New Roman"/>
          <w:sz w:val="18"/>
          <w:szCs w:val="18"/>
          <w:u w:val="single" w:color="auto"/>
          <w:color w:val="0000FF"/>
        </w:rPr>
        <w:t>60</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as the required information is immaterial, not applicable, or the information is presented in the consolidated financial statements or related notes.</w:t>
      </w:r>
    </w:p>
    <w:p>
      <w:pPr>
        <w:spacing w:after="0" w:line="121"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set forth on the exhibit index that follows the signature page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ARTIVION, INC.</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tcPr>
          <w:p>
            <w:pPr>
              <w:ind w:left="502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 PATRICK MACKIN</w:t>
            </w:r>
          </w:p>
        </w:tc>
      </w:tr>
      <w:tr>
        <w:trPr>
          <w:trHeight w:val="169"/>
        </w:trPr>
        <w:tc>
          <w:tcPr>
            <w:tcW w:w="59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February 23, 2024</w:t>
            </w:r>
          </w:p>
        </w:tc>
        <w:tc>
          <w:tcPr>
            <w:tcW w:w="52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J. Patrick Mackin</w:t>
            </w:r>
          </w:p>
        </w:tc>
      </w:tr>
      <w:tr>
        <w:trPr>
          <w:trHeight w:val="184"/>
        </w:trPr>
        <w:tc>
          <w:tcPr>
            <w:tcW w:w="5940" w:type="dxa"/>
            <w:vAlign w:val="bottom"/>
          </w:tcPr>
          <w:p>
            <w:pPr>
              <w:spacing w:after="0"/>
              <w:rPr>
                <w:sz w:val="16"/>
                <w:szCs w:val="16"/>
                <w:color w:val="auto"/>
              </w:rPr>
            </w:pPr>
          </w:p>
        </w:tc>
        <w:tc>
          <w:tcPr>
            <w:tcW w:w="52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234"/>
        </w:trPr>
        <w:tc>
          <w:tcPr>
            <w:tcW w:w="594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 Patrick Mackin</w:t>
      </w: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Lance A. Berry</w:t>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AMY D.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434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Amy D. Horton</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THOMAS F. ACKERMAN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Thomas F. Ackerman</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DANIEL J BEVEVINO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Daniel J Bevevino</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MARNA P. BORGSTROM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Marna P. Borgstrom</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JAMES W. BULLOCK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James W. Bullock</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JEFFREY H. BURBANK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Jeffrey H. Burbank</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ELIZABETH A. 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Elizabeth A. Hoff</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JON W. SALVESON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Jon W. Salveson</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ANTHONY B. SEMEDO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345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Anthony B. Semedo</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4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2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Chairman of the Board of Directors</w:t>
            </w:r>
          </w:p>
        </w:tc>
        <w:tc>
          <w:tcPr>
            <w:tcW w:w="1600" w:type="dxa"/>
            <w:vAlign w:val="bottom"/>
            <w:gridSpan w:val="3"/>
          </w:tcPr>
          <w:p>
            <w:pPr>
              <w:ind w:left="280"/>
              <w:spacing w:after="0" w:line="181" w:lineRule="exact"/>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23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Executive Vice President, Finance</w:t>
            </w:r>
          </w:p>
        </w:tc>
        <w:tc>
          <w:tcPr>
            <w:tcW w:w="16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14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5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160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140"/>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52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2"/>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r>
        <w:trPr>
          <w:trHeight w:val="52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February 23, 2024</w:t>
            </w:r>
          </w:p>
        </w:tc>
        <w:tc>
          <w:tcPr>
            <w:tcW w:w="0" w:type="dxa"/>
            <w:vAlign w:val="bottom"/>
          </w:tcPr>
          <w:p>
            <w:pPr>
              <w:spacing w:after="0"/>
              <w:rPr>
                <w:sz w:val="1"/>
                <w:szCs w:val="1"/>
                <w:color w:val="auto"/>
              </w:rPr>
            </w:pPr>
          </w:p>
        </w:tc>
      </w:tr>
    </w:tbl>
    <w:p>
      <w:pPr>
        <w:spacing w:after="0" w:line="290" w:lineRule="exact"/>
        <w:rPr>
          <w:sz w:val="20"/>
          <w:szCs w:val="20"/>
          <w:color w:val="auto"/>
        </w:rPr>
      </w:pPr>
    </w:p>
    <w:p>
      <w:pPr>
        <w:sectPr>
          <w:pgSz w:w="11900" w:h="16838" w:orient="portrait"/>
          <w:cols w:equalWidth="0" w:num="2">
            <w:col w:w="3240" w:space="720"/>
            <w:col w:w="7280"/>
          </w:cols>
          <w:pgMar w:left="320" w:top="121" w:right="339" w:bottom="1440" w:gutter="0" w:footer="0" w:header="0"/>
          <w:type w:val="continuous"/>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4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9740" w:type="dxa"/>
            <w:vAlign w:val="bottom"/>
            <w:tcBorders>
              <w:right w:val="single" w:sz="8" w:color="CCEE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Securities Purchase Agreement, dated September 2, 2020, by and among Artivion, Inc., Ascyrus Medical LLC, the securityholders of</w:t>
              </w:r>
            </w:hyperlink>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80" w:type="dxa"/>
            <w:vAlign w:val="bottom"/>
            <w:tcBorders>
              <w:right w:val="single" w:sz="8" w:color="CCEE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FF"/>
              <w:right w:val="single" w:sz="8" w:color="CCEE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44">
              <w:r>
                <w:rPr>
                  <w:rFonts w:ascii="Times New Roman" w:cs="Times New Roman" w:eastAsia="Times New Roman" w:hAnsi="Times New Roman"/>
                  <w:sz w:val="18"/>
                  <w:szCs w:val="18"/>
                  <w:color w:val="0000FF"/>
                </w:rPr>
                <w:t>Ascyrus Medical LLC and the Securityholder Representative (as defined therein). (Incorporated herein by reference to Exhibit 2.1 to</w:t>
              </w:r>
            </w:hyperlink>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0000FF"/>
            </w:tcBorders>
            <w:shd w:val="clear" w:color="auto" w:fill="CCEEFF"/>
          </w:tcPr>
          <w:p>
            <w:pPr>
              <w:spacing w:after="0" w:line="196" w:lineRule="exact"/>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the Registrant’s Current Report on Form 8-K filed September 2, 2020.)</w:t>
              </w:r>
            </w:hyperlink>
          </w:p>
        </w:tc>
        <w:tc>
          <w:tcPr>
            <w:tcW w:w="462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2.2</w:t>
            </w:r>
          </w:p>
        </w:tc>
        <w:tc>
          <w:tcPr>
            <w:tcW w:w="9740" w:type="dxa"/>
            <w:vAlign w:val="bottom"/>
            <w:tcBorders>
              <w:bottom w:val="single" w:sz="8" w:color="0000FF"/>
            </w:tcBorders>
            <w:gridSpan w:val="3"/>
          </w:tcPr>
          <w:p>
            <w:pPr>
              <w:spacing w:after="0" w:line="202"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Asset Purchase Agreement dated July 28, 2021, by among Artivion, Inc., and Baxter Healthcare Company. (Incorporated herein by</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3"/>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reference to Exhibit 2.1 to the Registrant’s Current Report on Form 8-K filed July 29, 2021.)</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1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2.3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br w:type="column"/>
      </w:r>
    </w:p>
    <w:p>
      <w:pPr>
        <w:ind w:right="20"/>
        <w:spacing w:after="0" w:line="273"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Plan of Conversion, effective January 1, 2022. (Incorporated herein by reference to Exhibit 2.1 to the Registrant’s Current Report on</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Form 8-K filed January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-304165</wp:posOffset>
            </wp:positionV>
            <wp:extent cx="7132320" cy="308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Delaware Certificate of Incorporation, effective January 1, 2022. (Incorporated herein by reference to Exhibit 3.2 to the Registrant’s</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Current Report on Form 8-K filed January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-4445</wp:posOffset>
            </wp:positionV>
            <wp:extent cx="7132320"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73" w:lineRule="auto"/>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Delaware Certificate of Amendment of Certificate of Incorporation, effective January 18, 2022. (Incorporated herein by reference to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Exhibit 3.1 to the Registrant’s Current Report on Form 8-K filed January 20, 2022.)</w:t>
        </w:r>
      </w:hyperlink>
    </w:p>
    <w:p>
      <w:pPr>
        <w:spacing w:after="0" w:line="2" w:lineRule="exact"/>
        <w:rPr>
          <w:sz w:val="20"/>
          <w:szCs w:val="20"/>
          <w:color w:val="auto"/>
        </w:rPr>
      </w:pPr>
    </w:p>
    <w:p>
      <w:pPr>
        <w:sectPr>
          <w:pgSz w:w="11900" w:h="16838" w:orient="portrait"/>
          <w:cols w:equalWidth="0" w:num="2">
            <w:col w:w="780" w:space="720"/>
            <w:col w:w="97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10.1(a)†</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10.1(b)†</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10.2(a)†</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10.2(b)†</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10.2(c)†</w:t>
      </w:r>
    </w:p>
    <w:p>
      <w:pPr>
        <w:spacing w:after="0" w:line="20" w:lineRule="exact"/>
        <w:rPr>
          <w:sz w:val="20"/>
          <w:szCs w:val="20"/>
          <w:color w:val="auto"/>
        </w:rPr>
      </w:pPr>
      <w:r>
        <w:rPr>
          <w:sz w:val="20"/>
          <w:szCs w:val="20"/>
          <w:color w:val="auto"/>
        </w:rPr>
        <w:br w:type="column"/>
      </w:r>
    </w:p>
    <w:p>
      <w:pPr>
        <w:jc w:val="both"/>
        <w:ind w:right="20"/>
        <w:spacing w:after="0" w:line="281" w:lineRule="auto"/>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Amended and Restated Bylaws of Artivion, Inc., a Delaware Corporation (Incorporated herein by reference to Exhibit 3.2 to the</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Registrant’s Current Report on Form 8-K filed January 20,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Amended and Restated Bylaws of Artivion, Inc. (Incorporated herein by reference to Exhibit 3.2 to the Registrant’s Current Report on</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Form 8-K filed August 8, 2023.)</w:t>
        </w:r>
      </w:hyperlink>
    </w:p>
    <w:p>
      <w:pPr>
        <w:spacing w:after="0" w:line="1" w:lineRule="exact"/>
        <w:rPr>
          <w:sz w:val="20"/>
          <w:szCs w:val="20"/>
          <w:color w:val="auto"/>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Certificate for our Common Stock. (Incorporated herein by reference to Exhibit 4.2 to the Registrant’s Annual Report on</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Form 10-K for the year ended December 31, 1997.)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Description of Artivion, Inc.’s Securities under Section 12 of the Exchange Act. (Incorporated herein by reference to Exhibit 4.2 to the</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Registrant's Annual Report on Form 10-K filed February 23, 2023.)</w:t>
        </w:r>
      </w:hyperlink>
    </w:p>
    <w:p>
      <w:pPr>
        <w:spacing w:after="0" w:line="1" w:lineRule="exact"/>
        <w:rPr>
          <w:sz w:val="20"/>
          <w:szCs w:val="20"/>
          <w:color w:val="auto"/>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Indenture, dated June 23, 2020, by and between Artivion, Inc. and US Bank National Association, as trustee. (Incorporated herein by</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reference to Exhibit 4.1 to the Registrant’s Current Report on Form 8-K filed June 23,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4457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right="20"/>
        <w:spacing w:after="0" w:line="266" w:lineRule="auto"/>
        <w:rPr>
          <w:rFonts w:ascii="Times New Roman" w:cs="Times New Roman" w:eastAsia="Times New Roman" w:hAnsi="Times New Roman"/>
          <w:sz w:val="18"/>
          <w:szCs w:val="18"/>
          <w:u w:val="single" w:color="auto"/>
          <w:color w:val="0000FF"/>
        </w:rPr>
      </w:pPr>
      <w:hyperlink r:id="rId157">
        <w:r>
          <w:rPr>
            <w:rFonts w:ascii="Times New Roman" w:cs="Times New Roman" w:eastAsia="Times New Roman" w:hAnsi="Times New Roman"/>
            <w:sz w:val="18"/>
            <w:szCs w:val="18"/>
            <w:u w:val="single" w:color="auto"/>
            <w:color w:val="0000FF"/>
          </w:rPr>
          <w:t>Form of Note filed as Exhibit A to Indenture, dated June 23, 2020, by and between Artivion, Inc. and US Bank National Association,</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as trustee. (Incorporated herein by reference to Exhibit A of Exhibit 4.1 to the Registrant’s Current Report on Form 8-K filed June 23,</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2020.)</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20"/>
        <w:spacing w:after="0" w:line="273" w:lineRule="auto"/>
        <w:rPr>
          <w:rFonts w:ascii="Times New Roman" w:cs="Times New Roman" w:eastAsia="Times New Roman" w:hAnsi="Times New Roman"/>
          <w:sz w:val="18"/>
          <w:szCs w:val="18"/>
          <w:u w:val="single" w:color="auto"/>
          <w:color w:val="0000FF"/>
        </w:rPr>
      </w:pPr>
      <w:hyperlink r:id="rId159">
        <w:r>
          <w:rPr>
            <w:rFonts w:ascii="Times New Roman" w:cs="Times New Roman" w:eastAsia="Times New Roman" w:hAnsi="Times New Roman"/>
            <w:sz w:val="18"/>
            <w:szCs w:val="18"/>
            <w:u w:val="single" w:color="auto"/>
            <w:color w:val="0000FF"/>
          </w:rPr>
          <w:t>Artivion, Inc. 2009 Employee Stock Incentive Plan. (Incorporated herein by reference to Exhibit 10.1 to the Registrant’s Quarterly</w:t>
        </w:r>
      </w:hyperlink>
      <w:r>
        <w:rPr>
          <w:rFonts w:ascii="Times New Roman" w:cs="Times New Roman" w:eastAsia="Times New Roman" w:hAnsi="Times New Roman"/>
          <w:sz w:val="18"/>
          <w:szCs w:val="18"/>
          <w:u w:val="single" w:color="auto"/>
          <w:color w:val="0000FF"/>
        </w:rPr>
        <w:t xml:space="preserve"> </w:t>
      </w:r>
      <w:hyperlink r:id="rId159">
        <w:r>
          <w:rPr>
            <w:rFonts w:ascii="Times New Roman" w:cs="Times New Roman" w:eastAsia="Times New Roman" w:hAnsi="Times New Roman"/>
            <w:sz w:val="18"/>
            <w:szCs w:val="18"/>
            <w:u w:val="single" w:color="auto"/>
            <w:color w:val="0000FF"/>
          </w:rPr>
          <w:t>Report on Form 10-Q filed July 30, 2009.)</w:t>
        </w:r>
      </w:hyperlink>
    </w:p>
    <w:p>
      <w:pPr>
        <w:spacing w:after="0" w:line="2" w:lineRule="exact"/>
        <w:rPr>
          <w:sz w:val="20"/>
          <w:szCs w:val="20"/>
          <w:color w:val="auto"/>
        </w:rPr>
      </w:pPr>
    </w:p>
    <w:p>
      <w:pPr>
        <w:jc w:val="both"/>
        <w:ind w:right="40"/>
        <w:spacing w:after="0" w:line="250" w:lineRule="auto"/>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Amended and Restated Artivion, Inc. 2009 Stock Incentive Plan. (Incorporated herein by reference to Exhibit 99.1 to the Registrant’s</w:t>
        </w:r>
      </w:hyperlink>
      <w:r>
        <w:rPr>
          <w:rFonts w:ascii="Times New Roman" w:cs="Times New Roman" w:eastAsia="Times New Roman" w:hAnsi="Times New Roman"/>
          <w:sz w:val="18"/>
          <w:szCs w:val="18"/>
          <w:u w:val="single" w:color="auto"/>
          <w:color w:val="0000FF"/>
        </w:rPr>
        <w:t xml:space="preserve"> </w:t>
      </w:r>
      <w:hyperlink r:id="rId160">
        <w:r>
          <w:rPr>
            <w:rFonts w:ascii="Times New Roman" w:cs="Times New Roman" w:eastAsia="Times New Roman" w:hAnsi="Times New Roman"/>
            <w:sz w:val="18"/>
            <w:szCs w:val="18"/>
            <w:u w:val="single" w:color="auto"/>
            <w:color w:val="0000FF"/>
          </w:rPr>
          <w:t>Form S-8 filed June 22,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-269875</wp:posOffset>
            </wp:positionV>
            <wp:extent cx="713232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First Amendment to the Amended and Restated Artivion, Inc. 2009 Stock Incentive Plan, dated July 24, 2012. (Incorporated herein by</w:t>
        </w:r>
      </w:hyperlink>
      <w:r>
        <w:rPr>
          <w:rFonts w:ascii="Times New Roman" w:cs="Times New Roman" w:eastAsia="Times New Roman" w:hAnsi="Times New Roman"/>
          <w:sz w:val="18"/>
          <w:szCs w:val="18"/>
          <w:u w:val="single" w:color="auto"/>
          <w:color w:val="0000FF"/>
        </w:rPr>
        <w:t xml:space="preserve"> </w:t>
      </w:r>
      <w:hyperlink r:id="rId162">
        <w:r>
          <w:rPr>
            <w:rFonts w:ascii="Times New Roman" w:cs="Times New Roman" w:eastAsia="Times New Roman" w:hAnsi="Times New Roman"/>
            <w:sz w:val="18"/>
            <w:szCs w:val="18"/>
            <w:u w:val="single" w:color="auto"/>
            <w:color w:val="0000FF"/>
          </w:rPr>
          <w:t>reference to Exhibit 10.5 to the Registrant’s Quarterly Report on Form 10-Q filed October 30,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Second Amended and Restated Artivion Inc. 2009 Stock Incentive Plan. (Incorporated herein by reference to Appendix B to the</w:t>
        </w:r>
      </w:hyperlink>
      <w:r>
        <w:rPr>
          <w:rFonts w:ascii="Times New Roman" w:cs="Times New Roman" w:eastAsia="Times New Roman" w:hAnsi="Times New Roman"/>
          <w:sz w:val="18"/>
          <w:szCs w:val="18"/>
          <w:u w:val="single" w:color="auto"/>
          <w:color w:val="0000FF"/>
        </w:rPr>
        <w:t xml:space="preserve"> </w:t>
      </w:r>
      <w:hyperlink r:id="rId164">
        <w:r>
          <w:rPr>
            <w:rFonts w:ascii="Times New Roman" w:cs="Times New Roman" w:eastAsia="Times New Roman" w:hAnsi="Times New Roman"/>
            <w:sz w:val="18"/>
            <w:szCs w:val="18"/>
            <w:u w:val="single" w:color="auto"/>
            <w:color w:val="0000FF"/>
          </w:rPr>
          <w:t>Registrant’s Definitive Proxy Statement filed April 8, 2014.)</w:t>
        </w:r>
      </w:hyperlink>
    </w:p>
    <w:p>
      <w:pPr>
        <w:spacing w:after="0" w:line="1"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65">
        <w:r>
          <w:rPr>
            <w:rFonts w:ascii="Times New Roman" w:cs="Times New Roman" w:eastAsia="Times New Roman" w:hAnsi="Times New Roman"/>
            <w:sz w:val="18"/>
            <w:szCs w:val="18"/>
            <w:u w:val="single" w:color="auto"/>
            <w:color w:val="0000FF"/>
          </w:rPr>
          <w:t>Form of Non-Qualified Stock Option Grant Agreement pursuant to the Artivion, Inc. 2009 Employee Stock Incentive Plan entered into</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with each Named Executive Officer. (Incorporated herein by reference to Exhibit 10.2 to the Registrant’s Quarterly Report on Form</w:t>
        </w:r>
      </w:hyperlink>
      <w:r>
        <w:rPr>
          <w:rFonts w:ascii="Times New Roman" w:cs="Times New Roman" w:eastAsia="Times New Roman" w:hAnsi="Times New Roman"/>
          <w:sz w:val="18"/>
          <w:szCs w:val="18"/>
          <w:u w:val="single" w:color="auto"/>
          <w:color w:val="0000FF"/>
        </w:rPr>
        <w:t xml:space="preserve"> </w:t>
      </w:r>
      <w:hyperlink r:id="rId165">
        <w:r>
          <w:rPr>
            <w:rFonts w:ascii="Times New Roman" w:cs="Times New Roman" w:eastAsia="Times New Roman" w:hAnsi="Times New Roman"/>
            <w:sz w:val="18"/>
            <w:szCs w:val="18"/>
            <w:u w:val="single" w:color="auto"/>
            <w:color w:val="0000FF"/>
          </w:rPr>
          <w:t>10-Q filed April 29, 2010.)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-946785</wp:posOffset>
            </wp:positionH>
            <wp:positionV relativeFrom="paragraph">
              <wp:posOffset>3175</wp:posOffset>
            </wp:positionV>
            <wp:extent cx="7132320" cy="308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167">
        <w:r>
          <w:rPr>
            <w:rFonts w:ascii="Times New Roman" w:cs="Times New Roman" w:eastAsia="Times New Roman" w:hAnsi="Times New Roman"/>
            <w:sz w:val="18"/>
            <w:szCs w:val="18"/>
            <w:u w:val="single" w:color="auto"/>
            <w:color w:val="0000FF"/>
          </w:rPr>
          <w:t>Artivion, Inc. Equity and Cash Incentive Plan. (Incorporated herein by reference to Exhibit 10.3 to Registrant’s Quarterly Report on</w:t>
        </w:r>
      </w:hyperlink>
      <w:r>
        <w:rPr>
          <w:rFonts w:ascii="Times New Roman" w:cs="Times New Roman" w:eastAsia="Times New Roman" w:hAnsi="Times New Roman"/>
          <w:sz w:val="18"/>
          <w:szCs w:val="18"/>
          <w:u w:val="single" w:color="auto"/>
          <w:color w:val="0000FF"/>
        </w:rPr>
        <w:t xml:space="preserve"> </w:t>
      </w:r>
      <w:hyperlink r:id="rId167">
        <w:r>
          <w:rPr>
            <w:rFonts w:ascii="Times New Roman" w:cs="Times New Roman" w:eastAsia="Times New Roman" w:hAnsi="Times New Roman"/>
            <w:sz w:val="18"/>
            <w:szCs w:val="18"/>
            <w:u w:val="single" w:color="auto"/>
            <w:color w:val="0000FF"/>
          </w:rPr>
          <w:t>Form 10-Q filed July 28, 2015.)</w:t>
        </w:r>
      </w:hyperlink>
    </w:p>
    <w:p>
      <w:pPr>
        <w:spacing w:after="0" w:line="1" w:lineRule="exact"/>
        <w:rPr>
          <w:sz w:val="20"/>
          <w:szCs w:val="20"/>
          <w:color w:val="auto"/>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168">
        <w:r>
          <w:rPr>
            <w:rFonts w:ascii="Times New Roman" w:cs="Times New Roman" w:eastAsia="Times New Roman" w:hAnsi="Times New Roman"/>
            <w:sz w:val="18"/>
            <w:szCs w:val="18"/>
            <w:u w:val="single" w:color="auto"/>
            <w:color w:val="0000FF"/>
          </w:rPr>
          <w:t>Artivion, Inc. Equity and Cash Incentive Plan, as amended. (Incorporated herein by reference to Exhibit 10.2(a) to Registrant’s Report</w:t>
        </w:r>
      </w:hyperlink>
      <w:r>
        <w:rPr>
          <w:rFonts w:ascii="Times New Roman" w:cs="Times New Roman" w:eastAsia="Times New Roman" w:hAnsi="Times New Roman"/>
          <w:sz w:val="18"/>
          <w:szCs w:val="18"/>
          <w:u w:val="single" w:color="auto"/>
          <w:color w:val="0000FF"/>
        </w:rPr>
        <w:t xml:space="preserve"> </w:t>
      </w:r>
      <w:hyperlink r:id="rId168">
        <w:r>
          <w:rPr>
            <w:rFonts w:ascii="Times New Roman" w:cs="Times New Roman" w:eastAsia="Times New Roman" w:hAnsi="Times New Roman"/>
            <w:sz w:val="18"/>
            <w:szCs w:val="18"/>
            <w:u w:val="single" w:color="auto"/>
            <w:color w:val="0000FF"/>
          </w:rPr>
          <w:t>on Form 10-K for the year ended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170">
        <w:r>
          <w:rPr>
            <w:rFonts w:ascii="Times New Roman" w:cs="Times New Roman" w:eastAsia="Times New Roman" w:hAnsi="Times New Roman"/>
            <w:sz w:val="18"/>
            <w:szCs w:val="18"/>
            <w:u w:val="single" w:color="auto"/>
            <w:color w:val="0000FF"/>
          </w:rPr>
          <w:t>Form of 2019 Performance Share Award Agreement pursuant to the Artivion, Inc. Equity and Cash Incentive Plan. (Incorporated</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herein by reference to Exhibit 10.2(b) to the Registrant’s Annual Report on Form 10-K for the year ended December 31, 2019.)</w:t>
        </w:r>
      </w:hyperlink>
    </w:p>
    <w:p>
      <w:pPr>
        <w:spacing w:after="0" w:line="1"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171">
        <w:r>
          <w:rPr>
            <w:rFonts w:ascii="Times New Roman" w:cs="Times New Roman" w:eastAsia="Times New Roman" w:hAnsi="Times New Roman"/>
            <w:sz w:val="18"/>
            <w:szCs w:val="18"/>
            <w:u w:val="single" w:color="auto"/>
            <w:color w:val="0000FF"/>
          </w:rPr>
          <w:t>Form of 2019 Long Term Incentive Program Performance Share Award Agreement pursuant to the Artivion, Inc. Equity and Cash</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Incentive Plan. (Incorporated herein by reference to Exhibit 10.2(c) to the Registrant’s Annual Report on Form 10-K for the year</w:t>
        </w:r>
      </w:hyperlink>
      <w:r>
        <w:rPr>
          <w:rFonts w:ascii="Times New Roman" w:cs="Times New Roman" w:eastAsia="Times New Roman" w:hAnsi="Times New Roman"/>
          <w:sz w:val="18"/>
          <w:szCs w:val="18"/>
          <w:u w:val="single" w:color="auto"/>
          <w:color w:val="0000FF"/>
        </w:rPr>
        <w:t xml:space="preserve"> </w:t>
      </w:r>
      <w:hyperlink r:id="rId171">
        <w:r>
          <w:rPr>
            <w:rFonts w:ascii="Times New Roman" w:cs="Times New Roman" w:eastAsia="Times New Roman" w:hAnsi="Times New Roman"/>
            <w:sz w:val="18"/>
            <w:szCs w:val="18"/>
            <w:u w:val="single" w:color="auto"/>
            <w:color w:val="0000FF"/>
          </w:rPr>
          <w:t>ended December 31, 2019.)</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80" w:space="720"/>
            <w:col w:w="974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40" w:type="dxa"/>
            <w:vAlign w:val="bottom"/>
            <w:tcBorders>
              <w:bottom w:val="single" w:sz="8" w:color="auto"/>
            </w:tcBorders>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10.2(d)†∞</w:t>
            </w:r>
          </w:p>
        </w:tc>
        <w:tc>
          <w:tcPr>
            <w:tcW w:w="9740" w:type="dxa"/>
            <w:vAlign w:val="bottom"/>
            <w:tcBorders>
              <w:bottom w:val="single" w:sz="8" w:color="0000FF"/>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Form of 2018 Officer Restricted Stock Award Agreement pursuant to the Artivion, Inc. Equity and Cash Incentive Plan. (Incorporated</w:t>
              </w:r>
            </w:hyperlink>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herein by reference to Exhibit 10.2(c) to Registrant’s Quarterly Report on Form 10-Q filed May 4, 2018.)</w:t>
              </w:r>
            </w:hyperlink>
          </w:p>
        </w:tc>
        <w:tc>
          <w:tcPr>
            <w:tcW w:w="216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10.2(e)†∞</w:t>
            </w:r>
          </w:p>
        </w:tc>
        <w:tc>
          <w:tcPr>
            <w:tcW w:w="9740" w:type="dxa"/>
            <w:vAlign w:val="bottom"/>
            <w:tcBorders>
              <w:bottom w:val="single" w:sz="8" w:color="0000FF"/>
            </w:tcBorders>
            <w:gridSpan w:val="5"/>
          </w:tcPr>
          <w:p>
            <w:pPr>
              <w:spacing w:after="0" w:line="20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Form of 2018 Non-Employee Director Restricted Stock Award Agreement pursuant to the Artivion, Inc. Equity and Cash Incentive</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5"/>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Plan. (Incorporated herein by reference to Exhibit 10.2(d) to Registrant’s Quarterly Report on Form 10-Q filed May 4, 2018.)</w:t>
              </w:r>
            </w:hyperlink>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9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10.2(f)†∞</w:t>
            </w:r>
          </w:p>
        </w:tc>
        <w:tc>
          <w:tcPr>
            <w:tcW w:w="9740" w:type="dxa"/>
            <w:vAlign w:val="bottom"/>
            <w:tcBorders>
              <w:bottom w:val="single" w:sz="8" w:color="0000FF"/>
              <w:right w:val="single" w:sz="8" w:color="CCEEFF"/>
            </w:tcBorders>
            <w:gridSpan w:val="5"/>
            <w:shd w:val="clear" w:color="auto" w:fill="CCEEFF"/>
          </w:tcPr>
          <w:p>
            <w:pPr>
              <w:spacing w:after="0" w:line="202"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Form of 2018 Grant of Non-Qualified Stock Option pursuant to the Artivion, Inc. Equity and Cash Incentive Plan. (Incorporated</w:t>
              </w:r>
            </w:hyperlink>
          </w:p>
        </w:tc>
        <w:tc>
          <w:tcPr>
            <w:tcW w:w="0" w:type="dxa"/>
            <w:vAlign w:val="bottom"/>
          </w:tcPr>
          <w:p>
            <w:pPr>
              <w:spacing w:after="0"/>
              <w:rPr>
                <w:sz w:val="1"/>
                <w:szCs w:val="1"/>
                <w:color w:val="auto"/>
              </w:rPr>
            </w:pPr>
          </w:p>
        </w:tc>
      </w:tr>
      <w:tr>
        <w:trPr>
          <w:trHeight w:val="243"/>
        </w:trPr>
        <w:tc>
          <w:tcPr>
            <w:tcW w:w="150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herein by reference to Exhibit 10.2(e) to Registrant’s Quarterly Report on Form 10-Q filed May 4, 2018.)</w:t>
              </w:r>
            </w:hyperlink>
          </w:p>
        </w:tc>
        <w:tc>
          <w:tcPr>
            <w:tcW w:w="2160" w:type="dxa"/>
            <w:vAlign w:val="bottom"/>
            <w:tcBorders>
              <w:bottom w:val="single" w:sz="8" w:color="CCEEFF"/>
              <w:right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9740" w:type="dxa"/>
            <w:vAlign w:val="bottom"/>
            <w:tcBorders>
              <w:bottom w:val="single" w:sz="8" w:color="0000FF"/>
            </w:tcBorders>
            <w:gridSpan w:val="5"/>
          </w:tcPr>
          <w:p>
            <w:pPr>
              <w:spacing w:after="0" w:line="20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Artivion, Inc. Equity and Cash Incentive Plan. (Incorporated herein by reference to Appendix B to the Registrant’s 2020 Proxy</w:t>
              </w:r>
            </w:hyperlink>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5"/>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Statement filed on March 31, 2020.)</w:t>
              </w:r>
            </w:hyperlink>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1200" w:type="dxa"/>
            <w:vAlign w:val="bottom"/>
            <w:tcBorders>
              <w:top w:val="single" w:sz="8" w:color="0000FF"/>
            </w:tcBorders>
          </w:tcPr>
          <w:p>
            <w:pPr>
              <w:spacing w:after="0"/>
              <w:rPr>
                <w:sz w:val="4"/>
                <w:szCs w:val="4"/>
                <w:color w:val="auto"/>
              </w:rPr>
            </w:pPr>
          </w:p>
        </w:tc>
        <w:tc>
          <w:tcPr>
            <w:tcW w:w="49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10.3(a)†</w:t>
            </w:r>
          </w:p>
        </w:tc>
        <w:tc>
          <w:tcPr>
            <w:tcW w:w="9740" w:type="dxa"/>
            <w:vAlign w:val="bottom"/>
            <w:tcBorders>
              <w:right w:val="single" w:sz="8" w:color="CCEEFF"/>
            </w:tcBorders>
            <w:gridSpan w:val="5"/>
            <w:shd w:val="clear" w:color="auto" w:fill="CCEEFF"/>
          </w:tcPr>
          <w:p>
            <w:pPr>
              <w:spacing w:after="0" w:line="20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2022 Grant of Non-Employee Director Restricted Stock Award Agreement pursuant to the Artivion, Inc. 2020 Equity and</w:t>
              </w:r>
            </w:hyperlink>
          </w:p>
        </w:tc>
        <w:tc>
          <w:tcPr>
            <w:tcW w:w="0" w:type="dxa"/>
            <w:vAlign w:val="bottom"/>
          </w:tcPr>
          <w:p>
            <w:pPr>
              <w:spacing w:after="0"/>
              <w:rPr>
                <w:sz w:val="1"/>
                <w:szCs w:val="1"/>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8320" w:type="dxa"/>
            <w:vAlign w:val="bottom"/>
            <w:tcBorders>
              <w:right w:val="single" w:sz="8" w:color="CCEEFF"/>
            </w:tcBorders>
            <w:gridSpan w:val="4"/>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FF"/>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Cash Incentive Plan. (Incorporated herein by reference to Exhibit 10.3(a) to the Registrant’s Annual Report on Form 10-K filed</w:t>
              </w:r>
            </w:hyperlink>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9740" w:type="dxa"/>
            <w:vAlign w:val="bottom"/>
            <w:tcBorders>
              <w:right w:val="single" w:sz="8" w:color="CCEEFF"/>
            </w:tcBorders>
            <w:gridSpan w:val="5"/>
            <w:shd w:val="clear" w:color="auto" w:fill="CCEEFF"/>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February 23, 2023.)</w:t>
              </w:r>
            </w:hyperlink>
          </w:p>
        </w:tc>
        <w:tc>
          <w:tcPr>
            <w:tcW w:w="0" w:type="dxa"/>
            <w:vAlign w:val="bottom"/>
          </w:tcPr>
          <w:p>
            <w:pPr>
              <w:spacing w:after="0"/>
              <w:rPr>
                <w:sz w:val="1"/>
                <w:szCs w:val="1"/>
                <w:color w:val="auto"/>
              </w:rPr>
            </w:pPr>
          </w:p>
        </w:tc>
      </w:tr>
      <w:tr>
        <w:trPr>
          <w:trHeight w:val="48"/>
        </w:trPr>
        <w:tc>
          <w:tcPr>
            <w:tcW w:w="150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49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right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10.3(b)</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10.3(c)</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10.3(d)</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10.3(f)*</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10.3(g)*</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10.3(h)*</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10.3(i)*</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10.3(j)*</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ind w:right="20"/>
        <w:spacing w:after="0" w:line="281" w:lineRule="auto"/>
        <w:rPr>
          <w:rFonts w:ascii="Times New Roman" w:cs="Times New Roman" w:eastAsia="Times New Roman" w:hAnsi="Times New Roman"/>
          <w:sz w:val="18"/>
          <w:szCs w:val="18"/>
          <w:u w:val="single" w:color="auto"/>
          <w:color w:val="0000FF"/>
        </w:rPr>
      </w:pPr>
      <w:hyperlink r:id="rId178">
        <w:r>
          <w:rPr>
            <w:rFonts w:ascii="Times New Roman" w:cs="Times New Roman" w:eastAsia="Times New Roman" w:hAnsi="Times New Roman"/>
            <w:sz w:val="18"/>
            <w:szCs w:val="18"/>
            <w:u w:val="single" w:color="auto"/>
            <w:color w:val="0000FF"/>
          </w:rPr>
          <w:t>Form of Non-Qualified Stock Option Grant Agreement pursuant to the Artivion, Inc. Equity and Cash Incentive Plan Option Award</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Agreement. (Incorporated herein by reference to Exhibit 10.1 to the Registrant’s Quarterly Report on Form 10-Q filed May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rFonts w:ascii="Times New Roman" w:cs="Times New Roman" w:eastAsia="Times New Roman" w:hAnsi="Times New Roman"/>
          <w:sz w:val="18"/>
          <w:szCs w:val="18"/>
          <w:u w:val="single" w:color="auto"/>
          <w:color w:val="0000FF"/>
        </w:rPr>
      </w:pPr>
      <w:hyperlink r:id="rId180">
        <w:r>
          <w:rPr>
            <w:rFonts w:ascii="Times New Roman" w:cs="Times New Roman" w:eastAsia="Times New Roman" w:hAnsi="Times New Roman"/>
            <w:sz w:val="18"/>
            <w:szCs w:val="18"/>
            <w:u w:val="single" w:color="auto"/>
            <w:color w:val="0000FF"/>
          </w:rPr>
          <w:t>Form of PSU Award Agreement pursuant to the Artivion, Inc. Equity and Cash Incentive Plan. (Incorporated herein by reference to</w:t>
        </w:r>
      </w:hyperlink>
      <w:r>
        <w:rPr>
          <w:rFonts w:ascii="Times New Roman" w:cs="Times New Roman" w:eastAsia="Times New Roman" w:hAnsi="Times New Roman"/>
          <w:sz w:val="18"/>
          <w:szCs w:val="18"/>
          <w:u w:val="single" w:color="auto"/>
          <w:color w:val="0000FF"/>
        </w:rPr>
        <w:t xml:space="preserve"> </w:t>
      </w:r>
      <w:hyperlink r:id="rId180">
        <w:r>
          <w:rPr>
            <w:rFonts w:ascii="Times New Roman" w:cs="Times New Roman" w:eastAsia="Times New Roman" w:hAnsi="Times New Roman"/>
            <w:sz w:val="18"/>
            <w:szCs w:val="18"/>
            <w:u w:val="single" w:color="auto"/>
            <w:color w:val="0000FF"/>
          </w:rPr>
          <w:t>Exhibit 10.2 to the Registrant’s Quarterly Report on Form 10-Q filed May 6, 2022.)</w:t>
        </w:r>
      </w:hyperlink>
    </w:p>
    <w:p>
      <w:pPr>
        <w:spacing w:after="0" w:line="1" w:lineRule="exact"/>
        <w:rPr>
          <w:sz w:val="20"/>
          <w:szCs w:val="20"/>
          <w:color w:val="auto"/>
        </w:rPr>
      </w:pPr>
    </w:p>
    <w:p>
      <w:pPr>
        <w:ind w:right="20"/>
        <w:spacing w:after="0" w:line="281"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Form of Restricted Stock Unit Award Agreement pursuant to the Artivion, Inc. Equity and Cash Incentive Plan. (Incorporated herein</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by reference to Exhibit 10.3 to the Registrant’s Quarterly Report on Form 10-Q filed May 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Form of Special PSU Award Agreement pursuant to the Artivion, Inc. Equity and Cash Incentive Plan. (Incorporated herein by</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reference to Exhibit 10.4 to the Registrant’s Quarterly Report on Form 10-Q filed May 6, 2022.)</w:t>
        </w:r>
      </w:hyperlink>
    </w:p>
    <w:p>
      <w:pPr>
        <w:spacing w:after="0" w:line="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2023 Long Term Incentive Program Performance Share Award Agreement pursuant to the 2020 Artivion, Inc. Equity and Cash Incentive Plan, adopted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2023 Performance Share Award Agreement pursuant to the 2020 Artivion, Inc. Equity and Cash Incentive Plan, adopted February 2023.</w:t>
      </w:r>
    </w:p>
    <w:p>
      <w:pPr>
        <w:spacing w:after="0" w:line="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2023 Restricted Stock Unit Award Agreement pursuant to the 2020 Artivion, Inc. Equity and Cash Incentive Plan, adopted February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2023 Performance Share Award Agreement pursuant to the 2020 Artivion, Inc. Equity and Cash Incentive Plan, adopted August 2023.</w:t>
      </w:r>
    </w:p>
    <w:p>
      <w:pPr>
        <w:spacing w:after="0" w:line="1"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u w:val="single" w:color="auto"/>
          <w:color w:val="0000FF"/>
        </w:rPr>
        <w:t>Form of 2023 Restricted Stock Unit Award Agreement pursuant to the 2020 Artivion, Inc. Equity and Cash Incentive Plan, adopted August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Artivion, Inc. Amended and Restated Employee Stock Purchase Plan. (Incorporated herein by reference to Exhibit 10.1 to the</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Registrant’s Current Report on Form 8-K filed May 20, 2022.)</w:t>
        </w:r>
      </w:hyperlink>
    </w:p>
    <w:p>
      <w:pPr>
        <w:spacing w:after="0" w:line="1" w:lineRule="exact"/>
        <w:rPr>
          <w:sz w:val="20"/>
          <w:szCs w:val="20"/>
          <w:color w:val="auto"/>
        </w:rPr>
      </w:pPr>
    </w:p>
    <w:p>
      <w:pPr>
        <w:ind w:right="20"/>
        <w:spacing w:after="0" w:line="273"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Artivion, Inc. Executive Deferred Compensation Plan. (Incorporated herein by reference to Exhibit 10.52 to the Registrant’s Annual</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Report on Form 10-K for the year ended December 31, 2010.)</w:t>
        </w:r>
      </w:hyperlink>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Summary of 2023 Compensation Arrangements with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-127635</wp:posOffset>
            </wp:positionV>
            <wp:extent cx="7132320" cy="145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6" w:lineRule="exact"/>
        <w:rPr>
          <w:sz w:val="20"/>
          <w:szCs w:val="20"/>
          <w:color w:val="auto"/>
        </w:rPr>
      </w:pPr>
    </w:p>
    <w:p>
      <w:pPr>
        <w:ind w:right="20"/>
        <w:spacing w:after="0" w:line="281" w:lineRule="auto"/>
        <w:rPr>
          <w:rFonts w:ascii="Times New Roman" w:cs="Times New Roman" w:eastAsia="Times New Roman" w:hAnsi="Times New Roman"/>
          <w:sz w:val="18"/>
          <w:szCs w:val="18"/>
          <w:u w:val="single" w:color="auto"/>
          <w:color w:val="0000FF"/>
        </w:rPr>
      </w:pPr>
      <w:hyperlink r:id="rId190">
        <w:r>
          <w:rPr>
            <w:rFonts w:ascii="Times New Roman" w:cs="Times New Roman" w:eastAsia="Times New Roman" w:hAnsi="Times New Roman"/>
            <w:sz w:val="18"/>
            <w:szCs w:val="18"/>
            <w:u w:val="single" w:color="auto"/>
            <w:color w:val="0000FF"/>
          </w:rPr>
          <w:t>Employment Agreement between Artivion, Inc. and J. Patrick Mackin, dated July 7, 2014. (Incorporated herein by reference to Exhibit</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10.1 to the Registrant’s Current Report on Form 8-K filed July 11,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rFonts w:ascii="Times New Roman" w:cs="Times New Roman" w:eastAsia="Times New Roman" w:hAnsi="Times New Roman"/>
          <w:sz w:val="18"/>
          <w:szCs w:val="18"/>
          <w:u w:val="single" w:color="auto"/>
          <w:color w:val="0000FF"/>
        </w:rPr>
      </w:pPr>
      <w:hyperlink r:id="rId192">
        <w:r>
          <w:rPr>
            <w:rFonts w:ascii="Times New Roman" w:cs="Times New Roman" w:eastAsia="Times New Roman" w:hAnsi="Times New Roman"/>
            <w:sz w:val="18"/>
            <w:szCs w:val="18"/>
            <w:u w:val="single" w:color="auto"/>
            <w:color w:val="0000FF"/>
          </w:rPr>
          <w:t>Stock Option Grant Agreement by and between Artivion, Inc. and J. Patrick Mackin, dated September 2, 2014. (Incorporated herein</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by reference to Exhibit 10.3 to the Registrant’s Quarterly Report on Form 10-Q filed October 28, 2014.)</w:t>
        </w:r>
      </w:hyperlink>
    </w:p>
    <w:p>
      <w:pPr>
        <w:spacing w:after="0" w:line="1"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93">
        <w:r>
          <w:rPr>
            <w:rFonts w:ascii="Times New Roman" w:cs="Times New Roman" w:eastAsia="Times New Roman" w:hAnsi="Times New Roman"/>
            <w:sz w:val="18"/>
            <w:szCs w:val="18"/>
            <w:u w:val="single" w:color="auto"/>
            <w:color w:val="0000FF"/>
          </w:rPr>
          <w:t>Form of Indemnification Agreement for Non-Employee Directors and Executive Officers. (Incorporated herein by reference to Exhibit</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10.1 to Registrant’s Quarterly Report on Form 10-Q filed November 4, 2022.)</w:t>
        </w:r>
      </w:hyperlink>
    </w:p>
    <w:p>
      <w:pPr>
        <w:spacing w:after="0" w:line="200" w:lineRule="exact"/>
        <w:rPr>
          <w:sz w:val="20"/>
          <w:szCs w:val="20"/>
          <w:color w:val="auto"/>
        </w:rPr>
      </w:pPr>
    </w:p>
    <w:p>
      <w:pPr>
        <w:sectPr>
          <w:pgSz w:w="11900" w:h="16838" w:orient="portrait"/>
          <w:cols w:equalWidth="0" w:num="2">
            <w:col w:w="780" w:space="720"/>
            <w:col w:w="9740"/>
          </w:cols>
          <w:pgMar w:left="320" w:top="121"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0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7"/>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97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60" w:type="dxa"/>
            <w:vAlign w:val="bottom"/>
            <w:tcBorders>
              <w:bottom w:val="single" w:sz="8" w:color="auto"/>
            </w:tcBorders>
            <w:gridSpan w:val="1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72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Change of Control Severance Agreement between Artivion, Inc. and John E. Davis, dated August 2, 2022. (Incorporated herein by</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0000FF"/>
            </w:tcBorders>
            <w:gridSpan w:val="6"/>
            <w:shd w:val="clear" w:color="auto" w:fill="CCEEFF"/>
          </w:tcPr>
          <w:p>
            <w:pPr>
              <w:spacing w:after="0" w:line="19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reference to Exhibit 10.2 to the Registrant’s Quarterly Report on Form 10-Q filed November 4, 2022.)</w:t>
              </w:r>
            </w:hyperlink>
          </w:p>
        </w:tc>
        <w:tc>
          <w:tcPr>
            <w:tcW w:w="2400" w:type="dxa"/>
            <w:vAlign w:val="bottom"/>
            <w:tcBorders>
              <w:bottom w:val="single" w:sz="8" w:color="CCEEFF"/>
            </w:tcBorders>
            <w:gridSpan w:val="11"/>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10.11†</w:t>
            </w:r>
          </w:p>
        </w:tc>
        <w:tc>
          <w:tcPr>
            <w:tcW w:w="97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Change of Control Severance Agreement between Artivion, Inc. and D. Ashley Lee, dated August 2, 2022 (Incorporated herein by</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reference to Exhibit 10.4 to Registrant’s Quarterly Report on Form 10-Q filed November 4, 2022.)</w:t>
              </w:r>
            </w:hyperlink>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5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10.12†</w:t>
            </w:r>
          </w:p>
        </w:tc>
        <w:tc>
          <w:tcPr>
            <w:tcW w:w="9720" w:type="dxa"/>
            <w:vAlign w:val="bottom"/>
            <w:tcBorders>
              <w:bottom w:val="single" w:sz="8" w:color="0000FF"/>
            </w:tcBorders>
            <w:gridSpan w:val="15"/>
            <w:shd w:val="clear" w:color="auto" w:fill="CCEEFF"/>
          </w:tcPr>
          <w:p>
            <w:pPr>
              <w:spacing w:after="0" w:line="202"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Change of Control Severance Agreement between Artivion, Inc. and Jean F. Holloway, dated August 2, 2022 (Incorporated herein by</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reference to Exhibit 10.3 to Registrant’s Quarterly Report on Form 10-Q filed November 4, 2022.)</w:t>
              </w:r>
            </w:hyperlink>
          </w:p>
        </w:tc>
        <w:tc>
          <w:tcPr>
            <w:tcW w:w="0" w:type="dxa"/>
            <w:vAlign w:val="bottom"/>
          </w:tcPr>
          <w:p>
            <w:pPr>
              <w:spacing w:after="0"/>
              <w:rPr>
                <w:sz w:val="1"/>
                <w:szCs w:val="1"/>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23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10.13+</w:t>
            </w:r>
          </w:p>
        </w:tc>
        <w:tc>
          <w:tcPr>
            <w:tcW w:w="22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202"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Clinical Research Agreement, dated October 10, 2019, by and between Artivion, Inc. and Duke University. (Incorporated herein by</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reference to Exhibit 10.19 to the Registrant’s Annual Report on Form 10-K for the year ended December 31, 2019.)</w:t>
              </w:r>
            </w:hyperlink>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5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10.13(a)+</w:t>
            </w:r>
          </w:p>
        </w:tc>
        <w:tc>
          <w:tcPr>
            <w:tcW w:w="9740" w:type="dxa"/>
            <w:vAlign w:val="bottom"/>
            <w:tcBorders>
              <w:bottom w:val="single" w:sz="8" w:color="0000FF"/>
            </w:tcBorders>
            <w:gridSpan w:val="16"/>
            <w:shd w:val="clear" w:color="auto" w:fill="CCEEFF"/>
          </w:tcPr>
          <w:p>
            <w:pPr>
              <w:spacing w:after="0" w:line="20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Amendment to Clinical Research Agreement, dated October 10, 2019, by and between Artivion, Inc. and Duke University.</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herein by reference to Exhibit 10.23(a) to the Annual Report on Form 10-K filed February 23, 2021.)</w:t>
              </w:r>
            </w:hyperlink>
          </w:p>
        </w:tc>
        <w:tc>
          <w:tcPr>
            <w:tcW w:w="0" w:type="dxa"/>
            <w:vAlign w:val="bottom"/>
          </w:tcPr>
          <w:p>
            <w:pPr>
              <w:spacing w:after="0"/>
              <w:rPr>
                <w:sz w:val="1"/>
                <w:szCs w:val="1"/>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23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5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10.13(b)+</w:t>
            </w:r>
          </w:p>
        </w:tc>
        <w:tc>
          <w:tcPr>
            <w:tcW w:w="9760" w:type="dxa"/>
            <w:vAlign w:val="bottom"/>
            <w:gridSpan w:val="17"/>
          </w:tcPr>
          <w:p>
            <w:pPr>
              <w:spacing w:after="0" w:line="18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Second Amendment to Clinical Research Agreement, dated January 20, 2022, by and between Artivion, Inc. and Duke University</w:t>
              </w:r>
            </w:hyperlink>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72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(Incorporated herein by reference to Exhibit 10.13(b) to the Registrant’s Annual Report on Form 10-K filed February 23, 2023.)</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2380" w:type="dxa"/>
            <w:vAlign w:val="bottom"/>
            <w:tcBorders>
              <w:top w:val="single" w:sz="8" w:color="0000FF"/>
            </w:tcBorders>
          </w:tcPr>
          <w:p>
            <w:pPr>
              <w:spacing w:after="0" w:line="20" w:lineRule="exact"/>
              <w:rPr>
                <w:sz w:val="1"/>
                <w:szCs w:val="1"/>
                <w:color w:val="auto"/>
              </w:rPr>
            </w:pPr>
          </w:p>
        </w:tc>
        <w:tc>
          <w:tcPr>
            <w:tcW w:w="124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11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10.13(c)+</w:t>
            </w:r>
          </w:p>
        </w:tc>
        <w:tc>
          <w:tcPr>
            <w:tcW w:w="9760" w:type="dxa"/>
            <w:vAlign w:val="bottom"/>
            <w:gridSpan w:val="17"/>
            <w:shd w:val="clear" w:color="auto" w:fill="CCEEFF"/>
          </w:tcPr>
          <w:p>
            <w:pPr>
              <w:spacing w:after="0" w:line="18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Third Amendment to Clinical Research Agreement, dated November 18, 2022, by and between Artivion, Inc. and Duke University</w:t>
              </w:r>
            </w:hyperlink>
          </w:p>
        </w:tc>
        <w:tc>
          <w:tcPr>
            <w:tcW w:w="0" w:type="dxa"/>
            <w:vAlign w:val="bottom"/>
          </w:tcPr>
          <w:p>
            <w:pPr>
              <w:spacing w:after="0"/>
              <w:rPr>
                <w:sz w:val="1"/>
                <w:szCs w:val="1"/>
                <w:color w:val="auto"/>
              </w:rPr>
            </w:pPr>
          </w:p>
        </w:tc>
      </w:tr>
      <w:tr>
        <w:trPr>
          <w:trHeight w:val="169"/>
        </w:trPr>
        <w:tc>
          <w:tcPr>
            <w:tcW w:w="1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740" w:type="dxa"/>
            <w:vAlign w:val="bottom"/>
            <w:tcBorders>
              <w:top w:val="single" w:sz="8" w:color="0000FF"/>
            </w:tcBorders>
            <w:gridSpan w:val="16"/>
            <w:shd w:val="clear" w:color="auto" w:fill="CCEEFF"/>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(Incorporated herein by reference to Exhibit 10.13(c) to the Registrant’s Annual Report on Form 10-K filed February 23, 2023.)</w:t>
              </w:r>
            </w:hyperlink>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0000FF"/>
            </w:tcBorders>
            <w:shd w:val="clear" w:color="auto" w:fill="CCEEFF"/>
          </w:tcPr>
          <w:p>
            <w:pPr>
              <w:spacing w:after="0" w:line="20" w:lineRule="exact"/>
              <w:rPr>
                <w:sz w:val="1"/>
                <w:szCs w:val="1"/>
                <w:color w:val="auto"/>
              </w:rPr>
            </w:pPr>
          </w:p>
        </w:tc>
        <w:tc>
          <w:tcPr>
            <w:tcW w:w="2380" w:type="dxa"/>
            <w:vAlign w:val="bottom"/>
            <w:tcBorders>
              <w:top w:val="single" w:sz="8" w:color="0000FF"/>
            </w:tcBorders>
            <w:shd w:val="clear" w:color="auto" w:fill="CCEEFF"/>
          </w:tcPr>
          <w:p>
            <w:pPr>
              <w:spacing w:after="0" w:line="20" w:lineRule="exact"/>
              <w:rPr>
                <w:sz w:val="1"/>
                <w:szCs w:val="1"/>
                <w:color w:val="auto"/>
              </w:rPr>
            </w:pPr>
          </w:p>
        </w:tc>
        <w:tc>
          <w:tcPr>
            <w:tcW w:w="124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10.14</w:t>
            </w:r>
          </w:p>
        </w:tc>
        <w:tc>
          <w:tcPr>
            <w:tcW w:w="22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Credit and Guaranty Agreement, dated December 1, 2017, by and among Artivion, Inc., CryoLife International, Inc., On-X Life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Technologies Holdings, Inc., On-X Life Technologies, Inc., AuraZyme Pharmaceuticals, Inc., the financial institutions party thereto</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from time to time as lenders, and Deutsche Bank AG New York Branch, as administrative agent and collateral agent. (Incorporated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herein by reference to Exhibit 10.1 to Registrant’s Current Report on Form 8-K filed December 1, 2017.)</w:t>
              </w:r>
            </w:hyperlink>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10.14(a)</w:t>
            </w:r>
          </w:p>
        </w:tc>
        <w:tc>
          <w:tcPr>
            <w:tcW w:w="976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First Amendment to Credit and Guaranty Agreement by and among Artivion, Inc., CryoLife International, Inc., On-X Life</w:t>
              </w:r>
            </w:hyperlink>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FF"/>
            </w:tcBorders>
            <w:gridSpan w:val="15"/>
            <w:shd w:val="clear" w:color="auto" w:fill="CCEEFF"/>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Technologies Holdings, Inc., On-X Life Technologies, Inc., AuraZyme Pharmaceuticals, Inc., the financial institutions party thereto</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from time to time as lenders, and Deutsche Bank AG New York Branch, as administrative agent and collateral agent, dated October</w:t>
              </w:r>
            </w:hyperlink>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26, 2018. (Incorporated herein by reference to Exhibit 10.1 of Registrant’s Current Report on Form 8-K filed October 31, 2018.)</w:t>
              </w:r>
            </w:hyperlink>
          </w:p>
        </w:tc>
        <w:tc>
          <w:tcPr>
            <w:tcW w:w="0" w:type="dxa"/>
            <w:vAlign w:val="bottom"/>
          </w:tcPr>
          <w:p>
            <w:pPr>
              <w:spacing w:after="0"/>
              <w:rPr>
                <w:sz w:val="1"/>
                <w:szCs w:val="1"/>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23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0000FF"/>
            </w:tcBorders>
            <w:shd w:val="clear" w:color="auto" w:fill="CCEEFF"/>
          </w:tcPr>
          <w:p>
            <w:pPr>
              <w:spacing w:after="0"/>
              <w:rPr>
                <w:sz w:val="4"/>
                <w:szCs w:val="4"/>
                <w:color w:val="auto"/>
              </w:rPr>
            </w:pPr>
          </w:p>
        </w:tc>
        <w:tc>
          <w:tcPr>
            <w:tcW w:w="11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10.14(b)</w:t>
            </w:r>
          </w:p>
        </w:tc>
        <w:tc>
          <w:tcPr>
            <w:tcW w:w="97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Second Amendment to Credit and Guaranty Agreement by and among Artivion, Inc., CryoLife International, Inc., On-X Life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Technologies Holdings, Inc., On-X Life Technologies, Inc., AuraZyme Pharmaceuticals, Inc., the financial institutions party thereto</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from time to time as lenders, and Deutsche Bank AG New York Branch, as administrative agent and collateral agent, dated April 29,</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2020. (Incorporated herein by reference to Exhibit 10.3 of Registrant’s Quarterly Report on Form 10-Q filed July 31, 2020.)</w:t>
              </w:r>
            </w:hyperlink>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380" w:type="dxa"/>
            <w:vAlign w:val="bottom"/>
            <w:tcBorders>
              <w:top w:val="single" w:sz="8" w:color="0000FF"/>
            </w:tcBorders>
          </w:tcPr>
          <w:p>
            <w:pPr>
              <w:spacing w:after="0"/>
              <w:rPr>
                <w:sz w:val="4"/>
                <w:szCs w:val="4"/>
                <w:color w:val="auto"/>
              </w:rPr>
            </w:pPr>
          </w:p>
        </w:tc>
        <w:tc>
          <w:tcPr>
            <w:tcW w:w="1240" w:type="dxa"/>
            <w:vAlign w:val="bottom"/>
            <w:tcBorders>
              <w:top w:val="single" w:sz="8" w:color="0000FF"/>
            </w:tcBorders>
          </w:tcPr>
          <w:p>
            <w:pPr>
              <w:spacing w:after="0"/>
              <w:rPr>
                <w:sz w:val="4"/>
                <w:szCs w:val="4"/>
                <w:color w:val="auto"/>
              </w:rPr>
            </w:pPr>
          </w:p>
        </w:tc>
        <w:tc>
          <w:tcPr>
            <w:tcW w:w="92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10.14(c)</w:t>
            </w:r>
          </w:p>
        </w:tc>
        <w:tc>
          <w:tcPr>
            <w:tcW w:w="976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Third Amendment to Credit and Guaranty Agreement between Artivion, Inc. and Deutsche Bank AG New York Branch as</w:t>
              </w:r>
            </w:hyperlink>
          </w:p>
        </w:tc>
        <w:tc>
          <w:tcPr>
            <w:tcW w:w="0" w:type="dxa"/>
            <w:vAlign w:val="bottom"/>
          </w:tcPr>
          <w:p>
            <w:pPr>
              <w:spacing w:after="0"/>
              <w:rPr>
                <w:sz w:val="1"/>
                <w:szCs w:val="1"/>
                <w:color w:val="auto"/>
              </w:rPr>
            </w:pPr>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FF"/>
            </w:tcBorders>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administrative agent and collateral agent, dated June 2, 2021. (Incorporated herein by reference to Exhibit 10.1 of the Registrant’s</w:t>
              </w:r>
            </w:hyperlink>
          </w:p>
        </w:tc>
        <w:tc>
          <w:tcPr>
            <w:tcW w:w="0" w:type="dxa"/>
            <w:vAlign w:val="bottom"/>
          </w:tcPr>
          <w:p>
            <w:pPr>
              <w:spacing w:after="0"/>
              <w:rPr>
                <w:sz w:val="1"/>
                <w:szCs w:val="1"/>
                <w:color w:val="auto"/>
              </w:rPr>
            </w:pPr>
          </w:p>
        </w:tc>
      </w:tr>
      <w:tr>
        <w:trPr>
          <w:trHeight w:val="243"/>
        </w:trPr>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Quarterly Report on Form 10-Q filed July 30, 2021.)</w:t>
              </w:r>
            </w:hyperlink>
          </w:p>
        </w:tc>
        <w:tc>
          <w:tcPr>
            <w:tcW w:w="5960" w:type="dxa"/>
            <w:vAlign w:val="bottom"/>
            <w:tcBorders>
              <w:bottom w:val="single" w:sz="8" w:color="CCEEFF"/>
            </w:tcBorders>
            <w:gridSpan w:val="15"/>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10.14(d)</w:t>
            </w:r>
          </w:p>
        </w:tc>
        <w:tc>
          <w:tcPr>
            <w:tcW w:w="976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Fourth Amendment to Credit and Guaranty Agreement between Artivion, Inc. (f/k/a CryoLife, Inc.), the Guarantor Subsidiaries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defined therein, the financial institutions party thereto from time to time as lenders, and Deutsche Bank AG New York Branch, as</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740" w:type="dxa"/>
            <w:vAlign w:val="bottom"/>
            <w:gridSpan w:val="10"/>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Administrative Agent. (Incorporated herein by reference to Exhibit 10.14(d) to the Registrant’s Annual Report on Form 10-K filed</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February 23, 2023.)</w:t>
              </w:r>
            </w:hyperlink>
          </w:p>
        </w:tc>
        <w:tc>
          <w:tcPr>
            <w:tcW w:w="0" w:type="dxa"/>
            <w:vAlign w:val="bottom"/>
          </w:tcPr>
          <w:p>
            <w:pPr>
              <w:spacing w:after="0"/>
              <w:rPr>
                <w:sz w:val="1"/>
                <w:szCs w:val="1"/>
                <w:color w:val="auto"/>
              </w:rPr>
            </w:pPr>
          </w:p>
        </w:tc>
      </w:tr>
      <w:tr>
        <w:trPr>
          <w:trHeight w:val="48"/>
        </w:trPr>
        <w:tc>
          <w:tcPr>
            <w:tcW w:w="1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20" w:type="dxa"/>
            <w:vAlign w:val="bottom"/>
            <w:tcBorders>
              <w:top w:val="single" w:sz="8" w:color="0000FF"/>
            </w:tcBorders>
          </w:tcPr>
          <w:p>
            <w:pPr>
              <w:spacing w:after="0"/>
              <w:rPr>
                <w:sz w:val="4"/>
                <w:szCs w:val="4"/>
                <w:color w:val="auto"/>
              </w:rPr>
            </w:pPr>
          </w:p>
        </w:tc>
        <w:tc>
          <w:tcPr>
            <w:tcW w:w="2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2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10.15</w:t>
            </w:r>
          </w:p>
        </w:tc>
        <w:tc>
          <w:tcPr>
            <w:tcW w:w="220" w:type="dxa"/>
            <w:vAlign w:val="bottom"/>
            <w:tcBorders>
              <w:bottom w:val="single" w:sz="8" w:color="CCEEFF"/>
            </w:tcBorders>
            <w:shd w:val="clear" w:color="auto" w:fill="CCEEFF"/>
          </w:tcPr>
          <w:p>
            <w:pPr>
              <w:spacing w:after="0"/>
              <w:rPr>
                <w:sz w:val="17"/>
                <w:szCs w:val="17"/>
                <w:color w:val="auto"/>
              </w:rPr>
            </w:pPr>
          </w:p>
        </w:tc>
        <w:tc>
          <w:tcPr>
            <w:tcW w:w="9760" w:type="dxa"/>
            <w:vAlign w:val="bottom"/>
            <w:tcBorders>
              <w:bottom w:val="single" w:sz="8" w:color="0000FF"/>
            </w:tcBorders>
            <w:gridSpan w:val="17"/>
            <w:shd w:val="clear" w:color="auto" w:fill="CCEEFF"/>
          </w:tcPr>
          <w:p>
            <w:pPr>
              <w:spacing w:after="0" w:line="202"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Lease Agreement between Artivion, Inc. and The H.N. and Frances C. Berger Foundation, successor in interest to Amli Land</w:t>
              </w:r>
            </w:hyperlink>
          </w:p>
        </w:tc>
        <w:tc>
          <w:tcPr>
            <w:tcW w:w="0" w:type="dxa"/>
            <w:vAlign w:val="bottom"/>
          </w:tcPr>
          <w:p>
            <w:pPr>
              <w:spacing w:after="0"/>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760" w:type="dxa"/>
            <w:vAlign w:val="bottom"/>
            <w:gridSpan w:val="17"/>
            <w:shd w:val="clear" w:color="auto" w:fill="CCEEFF"/>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Development—I Limited Partnership, dated April 18, 1995. (Incorporated herein by reference to Exhibit 10.16 to the Registrant’s</w:t>
              </w:r>
            </w:hyperlink>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700" w:type="dxa"/>
            <w:vAlign w:val="bottom"/>
            <w:tcBorders>
              <w:top w:val="single" w:sz="8" w:color="0000FF"/>
            </w:tcBorders>
            <w:gridSpan w:val="14"/>
            <w:shd w:val="clear" w:color="auto" w:fill="CCEEFF"/>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Annual Report on Form 10-K for the year ended December 31, 2007.)</w:t>
              </w:r>
            </w:hyperlink>
          </w:p>
        </w:tc>
        <w:tc>
          <w:tcPr>
            <w:tcW w:w="60" w:type="dxa"/>
            <w:vAlign w:val="bottom"/>
            <w:tcBorders>
              <w:top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2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0000FF"/>
            </w:tcBorders>
            <w:shd w:val="clear" w:color="auto" w:fill="CCEEFF"/>
          </w:tcPr>
          <w:p>
            <w:pPr>
              <w:spacing w:after="0"/>
              <w:rPr>
                <w:sz w:val="4"/>
                <w:szCs w:val="4"/>
                <w:color w:val="auto"/>
              </w:rPr>
            </w:pPr>
          </w:p>
        </w:tc>
        <w:tc>
          <w:tcPr>
            <w:tcW w:w="2380" w:type="dxa"/>
            <w:vAlign w:val="bottom"/>
            <w:tcBorders>
              <w:top w:val="single" w:sz="8" w:color="0000FF"/>
            </w:tcBorders>
            <w:shd w:val="clear" w:color="auto" w:fill="CCEEFF"/>
          </w:tcPr>
          <w:p>
            <w:pPr>
              <w:spacing w:after="0"/>
              <w:rPr>
                <w:sz w:val="4"/>
                <w:szCs w:val="4"/>
                <w:color w:val="auto"/>
              </w:rPr>
            </w:pPr>
          </w:p>
        </w:tc>
        <w:tc>
          <w:tcPr>
            <w:tcW w:w="1240" w:type="dxa"/>
            <w:vAlign w:val="bottom"/>
            <w:tcBorders>
              <w:top w:val="single" w:sz="8" w:color="0000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10.15(a)</w:t>
            </w:r>
          </w:p>
        </w:tc>
        <w:tc>
          <w:tcPr>
            <w:tcW w:w="9760" w:type="dxa"/>
            <w:vAlign w:val="bottom"/>
            <w:gridSpan w:val="17"/>
          </w:tcPr>
          <w:p>
            <w:pPr>
              <w:spacing w:after="0" w:line="202"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First Amendment to Lease Agreement between Artivion, Inc. and The H.N. and Frances C. Berger Foundation, successor in interest to</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60" w:type="dxa"/>
            <w:vAlign w:val="bottom"/>
            <w:gridSpan w:val="4"/>
            <w:shd w:val="clear" w:color="auto" w:fill="0000FF"/>
          </w:tcPr>
          <w:p>
            <w:pPr>
              <w:spacing w:after="0" w:line="20" w:lineRule="exact"/>
              <w:rPr>
                <w:sz w:val="1"/>
                <w:szCs w:val="1"/>
                <w:color w:val="auto"/>
              </w:rPr>
            </w:pPr>
          </w:p>
        </w:tc>
        <w:tc>
          <w:tcPr>
            <w:tcW w:w="3740" w:type="dxa"/>
            <w:vAlign w:val="bottom"/>
            <w:gridSpan w:val="10"/>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Amli Land Development—I Limited Partnership, dated August 6, 1999. (Incorporated herein by reference to Exhibit 10.16(a) to the</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17"/>
          </w:tcPr>
          <w:p>
            <w:pPr>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Registrant’s Annual Report on Form 10-K for the year ended December 31, 1999.)</w:t>
              </w:r>
            </w:hyperlink>
          </w:p>
        </w:tc>
        <w:tc>
          <w:tcPr>
            <w:tcW w:w="0" w:type="dxa"/>
            <w:vAlign w:val="bottom"/>
          </w:tcPr>
          <w:p>
            <w:pPr>
              <w:spacing w:after="0"/>
              <w:rPr>
                <w:sz w:val="1"/>
                <w:szCs w:val="1"/>
                <w:color w:val="auto"/>
              </w:rPr>
            </w:pPr>
          </w:p>
        </w:tc>
      </w:tr>
      <w:tr>
        <w:trPr>
          <w:trHeight w:val="952"/>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tcBorders>
              <w:top w:val="single" w:sz="8" w:color="0000FF"/>
            </w:tcBorders>
            <w:gridSpan w:val="3"/>
          </w:tcPr>
          <w:p>
            <w:pPr>
              <w:ind w:left="3980"/>
              <w:spacing w:after="0"/>
              <w:rPr>
                <w:sz w:val="20"/>
                <w:szCs w:val="20"/>
                <w:color w:val="auto"/>
              </w:rPr>
            </w:pPr>
            <w:r>
              <w:rPr>
                <w:rFonts w:ascii="Times New Roman" w:cs="Times New Roman" w:eastAsia="Times New Roman" w:hAnsi="Times New Roman"/>
                <w:sz w:val="18"/>
                <w:szCs w:val="18"/>
                <w:color w:val="auto"/>
              </w:rPr>
              <w:t>107</w:t>
            </w:r>
          </w:p>
        </w:tc>
        <w:tc>
          <w:tcPr>
            <w:tcW w:w="92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4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10.15(b)</w:t>
            </w:r>
          </w:p>
        </w:tc>
        <w:tc>
          <w:tcPr>
            <w:tcW w:w="972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Restatement and Amendment to Funding Agreement between Artivion, Inc. and The H.N. and Frances C. Berger Foundation,</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Borders>
              <w:bottom w:val="single" w:sz="8" w:color="CCEEFF"/>
            </w:tcBorders>
            <w:shd w:val="clear" w:color="auto" w:fill="CCEEFF"/>
          </w:tcPr>
          <w:p>
            <w:pPr>
              <w:spacing w:after="0"/>
              <w:rPr>
                <w:sz w:val="17"/>
                <w:szCs w:val="17"/>
                <w:color w:val="auto"/>
              </w:rPr>
            </w:pPr>
          </w:p>
        </w:tc>
        <w:tc>
          <w:tcPr>
            <w:tcW w:w="9720" w:type="dxa"/>
            <w:vAlign w:val="bottom"/>
            <w:tcBorders>
              <w:bottom w:val="single" w:sz="8" w:color="0000FF"/>
            </w:tcBorders>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successor in interest to Amli Land Development—I Limited Partnership, dated August 6, 1999. (Incorporated herein by reference to</w:t>
              </w:r>
            </w:hyperlink>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50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0000FF"/>
            </w:tcBorders>
            <w:gridSpan w:val="2"/>
            <w:shd w:val="clear" w:color="auto" w:fill="CCEEFF"/>
          </w:tcPr>
          <w:p>
            <w:pPr>
              <w:spacing w:after="0" w:line="196" w:lineRule="exact"/>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Exhibit 10.16(b) to the Registrant’s Annual Report on Form 10-K for the year ended December 31, 2000.)</w:t>
              </w:r>
            </w:hyperlink>
          </w:p>
        </w:tc>
        <w:tc>
          <w:tcPr>
            <w:tcW w:w="2100" w:type="dxa"/>
            <w:vAlign w:val="bottom"/>
            <w:tcBorders>
              <w:bottom w:val="single" w:sz="8" w:color="CCEEFF"/>
            </w:tcBorders>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10.15(c)</w:t>
            </w:r>
          </w:p>
        </w:tc>
        <w:tc>
          <w:tcPr>
            <w:tcW w:w="9720" w:type="dxa"/>
            <w:vAlign w:val="bottom"/>
            <w:tcBorders>
              <w:bottom w:val="single" w:sz="8" w:color="0000FF"/>
            </w:tcBorders>
            <w:gridSpan w:val="3"/>
          </w:tcPr>
          <w:p>
            <w:pPr>
              <w:spacing w:after="0" w:line="202"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Second Amendment to Lease Agreement between Artivion, Inc. and The H.N. and Frances C. Berger Foundation, successor in interest</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to P&amp;L Barrett, L.P., dated May 10, 2010. (Incorporated herein by reference to Exhibit 10.2 to the Registrant’s Quarterly Report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40" w:type="dxa"/>
            <w:vAlign w:val="bottom"/>
            <w:gridSpan w:val="4"/>
          </w:tcPr>
          <w:p>
            <w:pPr>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Form 10-Q filed July 29, 2010.)</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10.15(d)++</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10.16(a)++</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10.16(b)++</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10.16(c)++</w:t>
      </w:r>
    </w:p>
    <w:p>
      <w:pPr>
        <w:spacing w:after="0" w:line="20" w:lineRule="exact"/>
        <w:rPr>
          <w:sz w:val="20"/>
          <w:szCs w:val="20"/>
          <w:color w:val="auto"/>
        </w:rPr>
      </w:pPr>
      <w:r>
        <w:rPr>
          <w:sz w:val="20"/>
          <w:szCs w:val="20"/>
          <w:color w:val="auto"/>
        </w:rPr>
        <w:br w:type="column"/>
      </w:r>
    </w:p>
    <w:p>
      <w:pPr>
        <w:jc w:val="both"/>
        <w:ind w:right="20"/>
        <w:spacing w:after="0" w:line="266" w:lineRule="auto"/>
        <w:rPr>
          <w:rFonts w:ascii="Times New Roman" w:cs="Times New Roman" w:eastAsia="Times New Roman" w:hAnsi="Times New Roman"/>
          <w:sz w:val="18"/>
          <w:szCs w:val="18"/>
          <w:u w:val="single" w:color="auto"/>
          <w:color w:val="0000FF"/>
        </w:rPr>
      </w:pPr>
      <w:hyperlink r:id="rId213">
        <w:r>
          <w:rPr>
            <w:rFonts w:ascii="Times New Roman" w:cs="Times New Roman" w:eastAsia="Times New Roman" w:hAnsi="Times New Roman"/>
            <w:sz w:val="18"/>
            <w:szCs w:val="18"/>
            <w:u w:val="single" w:color="auto"/>
            <w:color w:val="0000FF"/>
          </w:rPr>
          <w:t>Third Amendment to Lease Agreement between Artivion, Inc. and The H.N. and Frances C. Berger Foundation, successor in interest</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to P&amp;L Barrett, L.P., dated May 10, 2020. (Incorporated herein by reference to Exhibit 10.15(d) to the Registrant’s Quarterly Report</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on Form 10-Q filed April 30,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-946785</wp:posOffset>
            </wp:positionH>
            <wp:positionV relativeFrom="paragraph">
              <wp:posOffset>-441960</wp:posOffset>
            </wp:positionV>
            <wp:extent cx="7132320" cy="445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215">
        <w:r>
          <w:rPr>
            <w:rFonts w:ascii="Times New Roman" w:cs="Times New Roman" w:eastAsia="Times New Roman" w:hAnsi="Times New Roman"/>
            <w:sz w:val="18"/>
            <w:szCs w:val="18"/>
            <w:u w:val="single" w:color="auto"/>
            <w:color w:val="0000FF"/>
          </w:rPr>
          <w:t>Lease Agreement between On-X Life Technologies, Inc. and 1300 E. Anderson Lane, Ltd., dated March 2, 2009. (Incorporated herein</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by reference to Exhibit 10.14 to the Registrant’s Quarterly Report on Form 10-Q filed May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First Amendment to Lease Agreement between On-X Life Technologies, Inc. and 1300 E. Anderson Lane, Ltd., dated November 15,</w:t>
        </w:r>
      </w:hyperlink>
      <w:r>
        <w:rPr>
          <w:rFonts w:ascii="Times New Roman" w:cs="Times New Roman" w:eastAsia="Times New Roman" w:hAnsi="Times New Roman"/>
          <w:sz w:val="18"/>
          <w:szCs w:val="18"/>
          <w:u w:val="single" w:color="auto"/>
          <w:color w:val="0000FF"/>
        </w:rPr>
        <w:t xml:space="preserve"> </w:t>
      </w:r>
      <w:hyperlink r:id="rId217">
        <w:r>
          <w:rPr>
            <w:rFonts w:ascii="Times New Roman" w:cs="Times New Roman" w:eastAsia="Times New Roman" w:hAnsi="Times New Roman"/>
            <w:sz w:val="18"/>
            <w:szCs w:val="18"/>
            <w:u w:val="single" w:color="auto"/>
            <w:color w:val="0000FF"/>
          </w:rPr>
          <w:t>2012. (Incorporated herein by reference to Exhibit 10.14(a) to the Registrant’s Quarterly Report on Form 10-Q filed May 4, 2018.)</w:t>
        </w:r>
      </w:hyperlink>
    </w:p>
    <w:p>
      <w:pPr>
        <w:spacing w:after="0" w:line="1" w:lineRule="exact"/>
        <w:rPr>
          <w:sz w:val="20"/>
          <w:szCs w:val="20"/>
          <w:color w:val="auto"/>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Second Amendment to Lease Agreement between On-X Life Technologies, Inc. and 1300 E. Anderson Lane, Ltd., dated January 29,</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2015. (Incorporated herein by reference to Exhibit 10.14(b) to the Registrant’s Quarterly Report on Form 10-Q filed May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73" w:lineRule="auto"/>
        <w:rPr>
          <w:rFonts w:ascii="Times New Roman" w:cs="Times New Roman" w:eastAsia="Times New Roman" w:hAnsi="Times New Roman"/>
          <w:sz w:val="18"/>
          <w:szCs w:val="18"/>
          <w:u w:val="single" w:color="auto"/>
          <w:color w:val="0000FF"/>
        </w:rPr>
      </w:pPr>
      <w:hyperlink r:id="rId220">
        <w:r>
          <w:rPr>
            <w:rFonts w:ascii="Times New Roman" w:cs="Times New Roman" w:eastAsia="Times New Roman" w:hAnsi="Times New Roman"/>
            <w:sz w:val="18"/>
            <w:szCs w:val="18"/>
            <w:u w:val="single" w:color="auto"/>
            <w:color w:val="0000FF"/>
          </w:rPr>
          <w:t>Third Amendment to Lease Agreement between On-X Life Technologies, Inc. and 1300 E. Anderson Lane, Ltd., dated January 29,</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2015. (Incorporated herein by reference to Exhibit 10.14(c) to the Registrant’s Quarterly Report on Form 10-Q filed May 4, 2018.)</w:t>
        </w:r>
      </w:hyperlink>
    </w:p>
    <w:p>
      <w:pPr>
        <w:spacing w:after="0" w:line="2" w:lineRule="exact"/>
        <w:rPr>
          <w:sz w:val="20"/>
          <w:szCs w:val="20"/>
          <w:color w:val="auto"/>
        </w:rPr>
      </w:pPr>
    </w:p>
    <w:p>
      <w:pPr>
        <w:sectPr>
          <w:pgSz w:w="11900" w:h="16838" w:orient="portrait"/>
          <w:cols w:equalWidth="0" w:num="2">
            <w:col w:w="840" w:space="660"/>
            <w:col w:w="9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10.16(d)+</w:t>
            </w:r>
          </w:p>
        </w:tc>
        <w:tc>
          <w:tcPr>
            <w:tcW w:w="97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Fourth Amendment to Lease Agreement between Artivion, Inc. and 1300 E. Anderson Lane, Ltd., dated March 8, 2019. (Incorporated</w:t>
              </w:r>
            </w:hyperlink>
          </w:p>
        </w:tc>
      </w:tr>
      <w:tr>
        <w:trPr>
          <w:trHeight w:val="196"/>
        </w:trPr>
        <w:tc>
          <w:tcPr>
            <w:tcW w:w="1500" w:type="dxa"/>
            <w:vAlign w:val="bottom"/>
          </w:tcPr>
          <w:p>
            <w:pPr>
              <w:spacing w:after="0"/>
              <w:rPr>
                <w:sz w:val="17"/>
                <w:szCs w:val="17"/>
                <w:color w:val="auto"/>
              </w:rPr>
            </w:pPr>
          </w:p>
        </w:tc>
        <w:tc>
          <w:tcPr>
            <w:tcW w:w="9740" w:type="dxa"/>
            <w:vAlign w:val="bottom"/>
            <w:gridSpan w:val="4"/>
          </w:tcPr>
          <w:p>
            <w:pPr>
              <w:spacing w:after="0" w:line="196"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herein by reference to Exhibit 10.3(d) to the Registrant's Quarterly Report on Form 10-Q filed November 3, 2023.)</w:t>
              </w:r>
            </w:hyperlink>
          </w:p>
        </w:tc>
      </w:tr>
      <w:tr>
        <w:trPr>
          <w:trHeight w:val="48"/>
        </w:trPr>
        <w:tc>
          <w:tcPr>
            <w:tcW w:w="1500" w:type="dxa"/>
            <w:vAlign w:val="bottom"/>
          </w:tcPr>
          <w:p>
            <w:pPr>
              <w:spacing w:after="0"/>
              <w:rPr>
                <w:sz w:val="4"/>
                <w:szCs w:val="4"/>
                <w:color w:val="auto"/>
              </w:rPr>
            </w:pPr>
          </w:p>
        </w:tc>
        <w:tc>
          <w:tcPr>
            <w:tcW w:w="826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5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10.16(e)+</w:t>
            </w:r>
          </w:p>
        </w:tc>
        <w:tc>
          <w:tcPr>
            <w:tcW w:w="9720" w:type="dxa"/>
            <w:vAlign w:val="bottom"/>
            <w:tcBorders>
              <w:bottom w:val="single" w:sz="8" w:color="0000FF"/>
            </w:tcBorders>
            <w:gridSpan w:val="3"/>
            <w:shd w:val="clear" w:color="auto" w:fill="CCEEFF"/>
          </w:tcPr>
          <w:p>
            <w:pPr>
              <w:spacing w:after="0" w:line="202"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Fifth Amendment to Lease Agreement between Artivion, Inc. and 1300 E. Anderson Lane, Ltd., dated September 1, 2023.</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00" w:type="dxa"/>
            <w:vAlign w:val="bottom"/>
            <w:shd w:val="clear" w:color="auto" w:fill="CCEEFF"/>
          </w:tcPr>
          <w:p>
            <w:pPr>
              <w:spacing w:after="0"/>
              <w:rPr>
                <w:sz w:val="17"/>
                <w:szCs w:val="17"/>
                <w:color w:val="auto"/>
              </w:rPr>
            </w:pPr>
          </w:p>
        </w:tc>
        <w:tc>
          <w:tcPr>
            <w:tcW w:w="9740" w:type="dxa"/>
            <w:vAlign w:val="bottom"/>
            <w:gridSpan w:val="4"/>
            <w:shd w:val="clear" w:color="auto" w:fill="CCEEFF"/>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(Incorporated herein by reference to Exhibit 10.3(e) to the Registrant's Quarterly Report on Form 10-Q filed November 3, 2023.)</w:t>
              </w:r>
            </w:hyperlink>
          </w:p>
        </w:tc>
      </w:tr>
      <w:tr>
        <w:trPr>
          <w:trHeight w:val="47"/>
        </w:trPr>
        <w:tc>
          <w:tcPr>
            <w:tcW w:w="1500" w:type="dxa"/>
            <w:vAlign w:val="bottom"/>
            <w:tcBorders>
              <w:top w:val="single" w:sz="8" w:color="CCEEFF"/>
            </w:tcBorders>
            <w:shd w:val="clear" w:color="auto" w:fill="CCEEFF"/>
          </w:tcPr>
          <w:p>
            <w:pPr>
              <w:spacing w:after="0"/>
              <w:rPr>
                <w:sz w:val="4"/>
                <w:szCs w:val="4"/>
                <w:color w:val="auto"/>
              </w:rPr>
            </w:pPr>
          </w:p>
        </w:tc>
        <w:tc>
          <w:tcPr>
            <w:tcW w:w="8260" w:type="dxa"/>
            <w:vAlign w:val="bottom"/>
            <w:tcBorders>
              <w:top w:val="single" w:sz="8" w:color="0000FF"/>
            </w:tcBorders>
            <w:shd w:val="clear" w:color="auto" w:fill="CCEEFF"/>
          </w:tcPr>
          <w:p>
            <w:pPr>
              <w:spacing w:after="0"/>
              <w:rPr>
                <w:sz w:val="4"/>
                <w:szCs w:val="4"/>
                <w:color w:val="auto"/>
              </w:rPr>
            </w:pPr>
          </w:p>
        </w:tc>
        <w:tc>
          <w:tcPr>
            <w:tcW w:w="102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10.17</w:t>
      </w: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10.17(a)</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10.18(a)++</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10.20</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10.21(a)+</w:t>
      </w:r>
    </w:p>
    <w:p>
      <w:pPr>
        <w:spacing w:after="0" w:line="20" w:lineRule="exact"/>
        <w:rPr>
          <w:sz w:val="20"/>
          <w:szCs w:val="20"/>
          <w:color w:val="auto"/>
        </w:rPr>
      </w:pPr>
      <w:r>
        <w:rPr>
          <w:sz w:val="20"/>
          <w:szCs w:val="20"/>
          <w:color w:val="auto"/>
        </w:rPr>
        <w:br w:type="column"/>
      </w:r>
    </w:p>
    <w:p>
      <w:pPr>
        <w:jc w:val="both"/>
        <w:ind w:right="20"/>
        <w:spacing w:after="0" w:line="281" w:lineRule="auto"/>
        <w:rPr>
          <w:rFonts w:ascii="Times New Roman" w:cs="Times New Roman" w:eastAsia="Times New Roman" w:hAnsi="Times New Roman"/>
          <w:sz w:val="18"/>
          <w:szCs w:val="18"/>
          <w:u w:val="single" w:color="auto"/>
          <w:color w:val="0000FF"/>
        </w:rPr>
      </w:pPr>
      <w:hyperlink r:id="rId223">
        <w:r>
          <w:rPr>
            <w:rFonts w:ascii="Times New Roman" w:cs="Times New Roman" w:eastAsia="Times New Roman" w:hAnsi="Times New Roman"/>
            <w:sz w:val="18"/>
            <w:szCs w:val="18"/>
            <w:u w:val="single" w:color="auto"/>
            <w:color w:val="0000FF"/>
          </w:rPr>
          <w:t>Lease Agreement between JOTEC GmbH and Lars Sunnanväder for Lotzenäcker 23, dated October 27, 2017 and November 2, 2017.</w:t>
        </w:r>
      </w:hyperlink>
      <w:r>
        <w:rPr>
          <w:rFonts w:ascii="Times New Roman" w:cs="Times New Roman" w:eastAsia="Times New Roman" w:hAnsi="Times New Roman"/>
          <w:sz w:val="18"/>
          <w:szCs w:val="18"/>
          <w:u w:val="single" w:color="auto"/>
          <w:color w:val="0000FF"/>
        </w:rPr>
        <w:t xml:space="preserve"> </w:t>
      </w:r>
      <w:hyperlink r:id="rId223">
        <w:r>
          <w:rPr>
            <w:rFonts w:ascii="Times New Roman" w:cs="Times New Roman" w:eastAsia="Times New Roman" w:hAnsi="Times New Roman"/>
            <w:sz w:val="18"/>
            <w:szCs w:val="18"/>
            <w:u w:val="single" w:color="auto"/>
            <w:color w:val="0000FF"/>
          </w:rPr>
          <w:t>(Incorporated herein by reference to Exhibit 10.15 to the Registrant’s Quarterly Report on Form 10-Q filed May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4457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right="20"/>
        <w:spacing w:after="0" w:line="266" w:lineRule="auto"/>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First Amendment to Lease Agreement between JOTEC GmbH and Lars Sunnanväder for Lotzenäcker 23, dated December 28, 2017</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and January 1, 2018. (Incorporated herein by reference to Exhibit 10.15(a) to the Registrant’s Quarterly Report on Form 10-Q filed</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May 4, 2018.)</w:t>
        </w:r>
      </w:hyperlink>
    </w:p>
    <w:p>
      <w:pPr>
        <w:spacing w:after="0" w:line="14" w:lineRule="exact"/>
        <w:rPr>
          <w:rFonts w:ascii="Times New Roman" w:cs="Times New Roman" w:eastAsia="Times New Roman" w:hAnsi="Times New Roman"/>
          <w:sz w:val="18"/>
          <w:szCs w:val="18"/>
          <w:u w:val="single" w:color="auto"/>
          <w:color w:val="0000FF"/>
        </w:rPr>
      </w:pPr>
    </w:p>
    <w:p>
      <w:pPr>
        <w:jc w:val="both"/>
        <w:ind w:right="20"/>
        <w:spacing w:after="0" w:line="281" w:lineRule="auto"/>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Lease Agreement between JOTEC GmbH and Lars Sunnanväder for Lotzenäcker 25, dated October 27, 2017 and November 2, 2017.</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(Incorporated herein by reference to Exhibit 10.16 to the Registrant’s Quarterly Report on Form 10-Q filed May 4,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-946785</wp:posOffset>
            </wp:positionH>
            <wp:positionV relativeFrom="paragraph">
              <wp:posOffset>-3810</wp:posOffset>
            </wp:positionV>
            <wp:extent cx="7132320" cy="308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First Amendment to Lease Agreement between JOTEC GmbH and Lars Sunnanväder for Lotzenäcker 25, dated April 27, 2018.</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(Incorporated herein by reference to Exhibit 10.16(a) to the Registrant’s Quarterly Report on Form 10-Q filed August 7, 2018.)</w:t>
        </w:r>
      </w:hyperlink>
    </w:p>
    <w:p>
      <w:pPr>
        <w:spacing w:after="0" w:line="1"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Lease Agreement between JOTEC GmbH and Frau Annika Sunnanväder for an objected located on the leased property at Lotzenäcker</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25, dated October 28, 2020. (Incorporated herein by reference to Exhibit 10.19 to the Registrant’s Annual Report on Form 10-K filed</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February 23,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-946785</wp:posOffset>
            </wp:positionH>
            <wp:positionV relativeFrom="paragraph">
              <wp:posOffset>3175</wp:posOffset>
            </wp:positionV>
            <wp:extent cx="7132320" cy="3086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jc w:val="both"/>
        <w:ind w:right="20"/>
        <w:spacing w:after="0" w:line="281" w:lineRule="auto"/>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Loan Agreement, dated September 11, 2019, by and between Artivion, Inc., as lender, and Endospan Ltd., as borrower. (Incorporated</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herein by reference to Exhibit 10.1 of Registrant’s Quarterly Report on Form 10-Q filed October 31, 2019.)</w:t>
        </w:r>
      </w:hyperlink>
    </w:p>
    <w:p>
      <w:pPr>
        <w:spacing w:after="0" w:line="1" w:lineRule="exact"/>
        <w:rPr>
          <w:sz w:val="20"/>
          <w:szCs w:val="20"/>
          <w:color w:val="auto"/>
        </w:rPr>
      </w:pPr>
    </w:p>
    <w:p>
      <w:pPr>
        <w:jc w:val="both"/>
        <w:ind w:right="20"/>
        <w:spacing w:after="0" w:line="266" w:lineRule="auto"/>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Exclusive Distribution Agreement, dated September 11, 2019, by and between JOTEC GmbH, as distributor, and Endospan Ltd., as</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manufacturer. (Incorporated herein by reference to Exhibit 10.2 of Registrant’s Quarterly Report on Form 10-Q filed October 31,</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-946785</wp:posOffset>
            </wp:positionH>
            <wp:positionV relativeFrom="paragraph">
              <wp:posOffset>3175</wp:posOffset>
            </wp:positionV>
            <wp:extent cx="7132320"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ind w:right="20"/>
        <w:spacing w:after="0" w:line="266" w:lineRule="auto"/>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First Amendment to Exclusive Distribution Agreement, by and between JOTEC GmbH, as distributor, and Endospan Ltd., as</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manufacturer, dated August 31, 2020. (Incorporated herein by reference to Exhibit 10.21(a) to the Annual Report on Form 10-K filed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February 23, 2021.)</w:t>
        </w:r>
      </w:hyperlink>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840" w:space="660"/>
            <w:col w:w="9740"/>
          </w:cols>
          <w:pgMar w:left="320" w:top="121"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75"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78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780" w:type="dxa"/>
            <w:vAlign w:val="bottom"/>
            <w:tcBorders>
              <w:bottom w:val="single" w:sz="8" w:color="auto"/>
            </w:tcBorders>
            <w:gridSpan w:val="20"/>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10.21(b)+</w:t>
            </w:r>
          </w:p>
        </w:tc>
        <w:tc>
          <w:tcPr>
            <w:tcW w:w="9780" w:type="dxa"/>
            <w:vAlign w:val="bottom"/>
            <w:gridSpan w:val="20"/>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Second Amendment to Exclusive Distribution Agreement, by and between JOTEC GmbH, as distributor, and Endospan Ltd., as</w:t>
              </w:r>
            </w:hyperlink>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0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manufacturer, dated December 30, 2022. (Incorporated herein by reference to Exhibit 10.21(b) to the Registrant's Annual Report 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80" w:type="dxa"/>
            <w:vAlign w:val="bottom"/>
            <w:gridSpan w:val="20"/>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10-K filed February 23, 2023.)</w:t>
              </w:r>
            </w:hyperlink>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150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10.21(c)+*</w:t>
            </w:r>
          </w:p>
        </w:tc>
        <w:tc>
          <w:tcPr>
            <w:tcW w:w="9720" w:type="dxa"/>
            <w:vAlign w:val="bottom"/>
            <w:tcBorders>
              <w:bottom w:val="single" w:sz="8" w:color="0000FF"/>
            </w:tcBorders>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Third Amendment to Exclusive Distribution Agreement, by and between JOTEC GmbH, as distributor, and Endospan Ltd., as</w:t>
            </w:r>
          </w:p>
        </w:tc>
        <w:tc>
          <w:tcPr>
            <w:tcW w:w="6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CCEEFF"/>
          </w:tcPr>
          <w:p>
            <w:pPr>
              <w:spacing w:after="0"/>
              <w:rPr>
                <w:sz w:val="17"/>
                <w:szCs w:val="17"/>
                <w:color w:val="auto"/>
              </w:rPr>
            </w:pPr>
          </w:p>
        </w:tc>
        <w:tc>
          <w:tcPr>
            <w:tcW w:w="9780" w:type="dxa"/>
            <w:vAlign w:val="bottom"/>
            <w:gridSpan w:val="20"/>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manufacturer, dated October 1, 2023.</w:t>
            </w:r>
          </w:p>
        </w:tc>
        <w:tc>
          <w:tcPr>
            <w:tcW w:w="0" w:type="dxa"/>
            <w:vAlign w:val="bottom"/>
          </w:tcPr>
          <w:p>
            <w:pPr>
              <w:spacing w:after="0"/>
              <w:rPr>
                <w:sz w:val="1"/>
                <w:szCs w:val="1"/>
                <w:color w:val="auto"/>
              </w:rPr>
            </w:pPr>
          </w:p>
        </w:tc>
      </w:tr>
      <w:tr>
        <w:trPr>
          <w:trHeight w:val="48"/>
        </w:trPr>
        <w:tc>
          <w:tcPr>
            <w:tcW w:w="150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10.22</w:t>
            </w:r>
          </w:p>
        </w:tc>
        <w:tc>
          <w:tcPr>
            <w:tcW w:w="9720" w:type="dxa"/>
            <w:vAlign w:val="bottom"/>
            <w:tcBorders>
              <w:bottom w:val="single" w:sz="8" w:color="0000FF"/>
            </w:tcBorders>
            <w:gridSpan w:val="17"/>
          </w:tcPr>
          <w:p>
            <w:pPr>
              <w:spacing w:after="0" w:line="202"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Purchase Agreement, dated June 18, 2020, by and between Artivion, Inc. and Morgan Stanley &amp; Co. LLC, as the initial purchaser.</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9780" w:type="dxa"/>
            <w:vAlign w:val="bottom"/>
            <w:gridSpan w:val="20"/>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(Incorporated herein by reference to Exhibit 10.1 to the Registrant’s Current Report on Form 8-K filed June 23, 2020.)</w:t>
              </w:r>
            </w:hyperlink>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4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10.23†+*</w:t>
            </w:r>
          </w:p>
        </w:tc>
        <w:tc>
          <w:tcPr>
            <w:tcW w:w="8420" w:type="dxa"/>
            <w:vAlign w:val="bottom"/>
            <w:tcBorders>
              <w:bottom w:val="single" w:sz="8" w:color="0000FF"/>
            </w:tcBorders>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Retirement Eligibility Letter Agreement, dated December 4, 2023, by and between Artivion, Inc. and D. Ashley Lee.</w:t>
            </w:r>
          </w:p>
        </w:tc>
        <w:tc>
          <w:tcPr>
            <w:tcW w:w="1360" w:type="dxa"/>
            <w:vAlign w:val="bottom"/>
            <w:tcBorders>
              <w:bottom w:val="single" w:sz="8" w:color="CCEEFF"/>
            </w:tcBorders>
            <w:gridSpan w:val="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10.24†+*</w:t>
            </w:r>
          </w:p>
        </w:tc>
        <w:tc>
          <w:tcPr>
            <w:tcW w:w="97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Consulting Agreement, dated January 1, 2024, by and between Artivion, Inc. and D. Ashley Lee.</w:t>
            </w: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10.25†+*</w:t>
            </w:r>
          </w:p>
        </w:tc>
        <w:tc>
          <w:tcPr>
            <w:tcW w:w="644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Offer Letter, dated December 4, 2023, by and between Artivion, Inc. and Lance A. Berry.</w:t>
            </w:r>
          </w:p>
        </w:tc>
        <w:tc>
          <w:tcPr>
            <w:tcW w:w="3340" w:type="dxa"/>
            <w:vAlign w:val="bottom"/>
            <w:tcBorders>
              <w:bottom w:val="single" w:sz="8" w:color="CCEEFF"/>
            </w:tcBorders>
            <w:gridSpan w:val="13"/>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10.26†*</w:t>
            </w:r>
          </w:p>
        </w:tc>
        <w:tc>
          <w:tcPr>
            <w:tcW w:w="97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Change of Control Severance Agreement, dated November 10, 2023, by and between Artivion, Inc. and Lance A. Berry.</w:t>
            </w: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5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10.27†+*</w:t>
            </w:r>
          </w:p>
        </w:tc>
        <w:tc>
          <w:tcPr>
            <w:tcW w:w="97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Performance and Retention Bonus Letter Agreement, dated December 6, 2023, by and between Artivion, Inc. and Amy D. Horton.</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5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10.28</w:t>
            </w:r>
          </w:p>
        </w:tc>
        <w:tc>
          <w:tcPr>
            <w:tcW w:w="9780" w:type="dxa"/>
            <w:vAlign w:val="bottom"/>
            <w:gridSpan w:val="20"/>
          </w:tcPr>
          <w:p>
            <w:pPr>
              <w:spacing w:after="0" w:line="18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Credit and Guaranty Agreement, dated January 18, 2024, by and among Artivion, Inc., On-X Life Technologies Holdings, Inc., On-X</w:t>
              </w:r>
            </w:hyperlink>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97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Life Technologies, Inc. and Ascyrus Medical, LLC, as subsidiary guarantors, the lenders from time to time party thereto and Ares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97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Capital Corporation, as administrative agent and collateral agent. (Incorporated herein by reference to Exhibit 10.1 to the Registrant’s</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500" w:type="dxa"/>
            <w:vAlign w:val="bottom"/>
          </w:tcPr>
          <w:p>
            <w:pPr>
              <w:spacing w:after="0"/>
              <w:rPr>
                <w:sz w:val="13"/>
                <w:szCs w:val="13"/>
                <w:color w:val="auto"/>
              </w:rPr>
            </w:pPr>
          </w:p>
        </w:tc>
        <w:tc>
          <w:tcPr>
            <w:tcW w:w="97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Current Report on Form 8-K filed January 18, 2024.)</w:t>
              </w:r>
            </w:hyperlink>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50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21.1*</w:t>
            </w:r>
          </w:p>
        </w:tc>
        <w:tc>
          <w:tcPr>
            <w:tcW w:w="2100" w:type="dxa"/>
            <w:vAlign w:val="bottom"/>
            <w:tcBorders>
              <w:bottom w:val="single" w:sz="8" w:color="0000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Subsidiaries of Artivion, Inc.</w:t>
            </w:r>
          </w:p>
        </w:tc>
        <w:tc>
          <w:tcPr>
            <w:tcW w:w="7680" w:type="dxa"/>
            <w:vAlign w:val="bottom"/>
            <w:tcBorders>
              <w:bottom w:val="single" w:sz="8" w:color="CCEEFF"/>
            </w:tcBorders>
            <w:gridSpan w:val="19"/>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23.1*</w:t>
            </w:r>
          </w:p>
        </w:tc>
        <w:tc>
          <w:tcPr>
            <w:tcW w:w="9780" w:type="dxa"/>
            <w:vAlign w:val="bottom"/>
            <w:gridSpan w:val="20"/>
          </w:tcPr>
          <w:p>
            <w:pPr>
              <w:spacing w:after="0" w:line="202" w:lineRule="exact"/>
              <w:rPr>
                <w:sz w:val="20"/>
                <w:szCs w:val="20"/>
                <w:color w:val="auto"/>
              </w:rPr>
            </w:pPr>
            <w:r>
              <w:rPr>
                <w:rFonts w:ascii="Times New Roman" w:cs="Times New Roman" w:eastAsia="Times New Roman" w:hAnsi="Times New Roman"/>
                <w:sz w:val="18"/>
                <w:szCs w:val="18"/>
                <w:color w:val="0000FF"/>
              </w:rPr>
              <w:t>Consent of Ernst &amp; Young LLP</w:t>
            </w: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5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97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by J. Patrick Mackin pursuant to section 302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6720" w:type="dxa"/>
            <w:vAlign w:val="bottom"/>
            <w:tcBorders>
              <w:top w:val="single" w:sz="8" w:color="0000FF"/>
            </w:tcBorders>
            <w:gridSpan w:val="9"/>
          </w:tcPr>
          <w:p>
            <w:pPr>
              <w:spacing w:after="0" w:line="202" w:lineRule="exact"/>
              <w:rPr>
                <w:sz w:val="20"/>
                <w:szCs w:val="20"/>
                <w:color w:val="auto"/>
              </w:rPr>
            </w:pPr>
            <w:r>
              <w:rPr>
                <w:rFonts w:ascii="Times New Roman" w:cs="Times New Roman" w:eastAsia="Times New Roman" w:hAnsi="Times New Roman"/>
                <w:sz w:val="18"/>
                <w:szCs w:val="18"/>
                <w:color w:val="0000FF"/>
              </w:rPr>
              <w:t>Certification by Lance A. Berry pursuant to section 302 of the Sarbanes-Oxley Act of 2002.</w:t>
            </w:r>
          </w:p>
        </w:tc>
        <w:tc>
          <w:tcPr>
            <w:tcW w:w="3060" w:type="dxa"/>
            <w:vAlign w:val="bottom"/>
            <w:tcBorders>
              <w:top w:val="single" w:sz="8" w:color="CCEEFF"/>
            </w:tcBorders>
            <w:gridSpan w:val="11"/>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50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140" w:type="dxa"/>
            <w:vAlign w:val="bottom"/>
            <w:tcBorders>
              <w:top w:val="single" w:sz="8" w:color="0000FF"/>
            </w:tcBorders>
          </w:tcPr>
          <w:p>
            <w:pPr>
              <w:spacing w:after="0"/>
              <w:rPr>
                <w:sz w:val="4"/>
                <w:szCs w:val="4"/>
                <w:color w:val="auto"/>
              </w:rPr>
            </w:pPr>
          </w:p>
        </w:tc>
        <w:tc>
          <w:tcPr>
            <w:tcW w:w="106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50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32**</w:t>
            </w:r>
          </w:p>
        </w:tc>
        <w:tc>
          <w:tcPr>
            <w:tcW w:w="9780" w:type="dxa"/>
            <w:vAlign w:val="bottom"/>
            <w:gridSpan w:val="20"/>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97.1*</w:t>
            </w:r>
          </w:p>
        </w:tc>
        <w:tc>
          <w:tcPr>
            <w:tcW w:w="8620" w:type="dxa"/>
            <w:vAlign w:val="bottom"/>
            <w:tcBorders>
              <w:top w:val="single" w:sz="8" w:color="0000FF"/>
            </w:tcBorders>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Artivion, Inc., Updated Clawback Policy, as amended August 2023.</w:t>
            </w:r>
          </w:p>
        </w:tc>
        <w:tc>
          <w:tcPr>
            <w:tcW w:w="1160" w:type="dxa"/>
            <w:vAlign w:val="bottom"/>
            <w:tcBorders>
              <w:top w:val="single" w:sz="8" w:color="CCEEFF"/>
            </w:tcBorders>
            <w:gridSpan w:val="7"/>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500" w:type="dxa"/>
            <w:vAlign w:val="bottom"/>
          </w:tcPr>
          <w:p>
            <w:pPr>
              <w:spacing w:after="0" w:line="20" w:lineRule="exact"/>
              <w:rPr>
                <w:sz w:val="1"/>
                <w:szCs w:val="1"/>
                <w:color w:val="auto"/>
              </w:rPr>
            </w:pPr>
          </w:p>
        </w:tc>
        <w:tc>
          <w:tcPr>
            <w:tcW w:w="2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7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30"/>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7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229"/>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7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43"/>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 formatted as Inline XBRL and contained in Exhibit 101</w:t>
            </w:r>
          </w:p>
        </w:tc>
        <w:tc>
          <w:tcPr>
            <w:tcW w:w="0" w:type="dxa"/>
            <w:vAlign w:val="bottom"/>
          </w:tcPr>
          <w:p>
            <w:pPr>
              <w:spacing w:after="0"/>
              <w:rPr>
                <w:sz w:val="1"/>
                <w:szCs w:val="1"/>
                <w:color w:val="auto"/>
              </w:rPr>
            </w:pPr>
          </w:p>
        </w:tc>
      </w:tr>
      <w:tr>
        <w:trPr>
          <w:trHeight w:val="27"/>
        </w:trPr>
        <w:tc>
          <w:tcPr>
            <w:tcW w:w="150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50" w:lineRule="exact"/>
        <w:rPr>
          <w:sz w:val="20"/>
          <w:szCs w:val="20"/>
          <w:color w:val="auto"/>
        </w:rPr>
      </w:pPr>
    </w:p>
    <w:p>
      <w:pPr>
        <w:ind w:left="460" w:hanging="434"/>
        <w:spacing w:after="0"/>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60" w:hanging="434"/>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460" w:hanging="434"/>
        <w:spacing w:after="0"/>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3" w:lineRule="exact"/>
        <w:rPr>
          <w:sz w:val="20"/>
          <w:szCs w:val="20"/>
          <w:color w:val="auto"/>
        </w:rPr>
      </w:pPr>
    </w:p>
    <w:p>
      <w:pPr>
        <w:ind w:left="460" w:hanging="434"/>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the 2018 form was used in 2019, and 2020, except otherwise indicated.</w:t>
      </w:r>
    </w:p>
    <w:p>
      <w:pPr>
        <w:spacing w:after="0" w:line="23" w:lineRule="exact"/>
        <w:rPr>
          <w:sz w:val="20"/>
          <w:szCs w:val="20"/>
          <w:color w:val="auto"/>
        </w:rPr>
      </w:pPr>
    </w:p>
    <w:p>
      <w:pPr>
        <w:ind w:left="460" w:right="540" w:hanging="434"/>
        <w:spacing w:after="0" w:line="234" w:lineRule="auto"/>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redacted exhibit provisions or terms that are both not material and would likely cause competitive harm to the Registrant if publicly disclosed.</w:t>
      </w:r>
    </w:p>
    <w:p>
      <w:pPr>
        <w:spacing w:after="0" w:line="10" w:lineRule="exact"/>
        <w:rPr>
          <w:sz w:val="20"/>
          <w:szCs w:val="20"/>
          <w:color w:val="auto"/>
        </w:rPr>
      </w:pPr>
    </w:p>
    <w:p>
      <w:pPr>
        <w:ind w:left="460" w:right="700" w:hanging="434"/>
        <w:spacing w:after="0" w:line="237"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has been granted confidential treatment for certain portions of this exhibit pursuant to Rule 24b-2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21"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10.3(f)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rPr>
          <w:sz w:val="20"/>
          <w:szCs w:val="20"/>
          <w:color w:val="auto"/>
        </w:rPr>
      </w:pPr>
      <w:r>
        <w:rPr>
          <w:rFonts w:ascii="Times New Roman" w:cs="Times New Roman" w:eastAsia="Times New Roman" w:hAnsi="Times New Roman"/>
          <w:sz w:val="18"/>
          <w:szCs w:val="18"/>
          <w:b w:val="1"/>
          <w:bCs w:val="1"/>
          <w:color w:val="auto"/>
        </w:rPr>
        <w:t>Total No.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ARTIVION,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EQUITY AND CASH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AWARD AGREEMENT</w:t>
      </w:r>
    </w:p>
    <w:p>
      <w:pPr>
        <w:spacing w:after="0" w:line="3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Artivion, Inc. 2020 Equity and Cash Incentive Plan (the “Plan”) will have the same defined meanings in this Performance Share Award Agreement, including the Notice of Stock Unit Grant (the “Notice of Grant”) and the Terms and Conditions of Performance Share Award,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the (“Award Agreement”).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 STOCK UNIT GRANT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Participant has been granted a Performance Share Unit, subject to the terms and conditions of the Plan and this Award Agreement,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Target Units of Stock Unit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Performance Stock Units</w:t>
      </w:r>
      <w:r>
        <w:rPr>
          <w:sz w:val="20"/>
          <w:szCs w:val="20"/>
          <w:color w:val="auto"/>
        </w:rPr>
        <w:tab/>
      </w:r>
      <w:r>
        <w:rPr>
          <w:rFonts w:ascii="Times New Roman" w:cs="Times New Roman" w:eastAsia="Times New Roman" w:hAnsi="Times New Roman"/>
          <w:sz w:val="17"/>
          <w:szCs w:val="17"/>
          <w:b w:val="1"/>
          <w:bCs w:val="1"/>
          <w:color w:val="auto"/>
        </w:rPr>
        <w:t>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Award will vest, and common stock (“Shares”) of Artivion, Inc. (the “Company”) will be issued, based on attaining specified levels of </w:t>
      </w:r>
      <w:r>
        <w:rPr>
          <w:rFonts w:ascii="Times New Roman" w:cs="Times New Roman" w:eastAsia="Times New Roman" w:hAnsi="Times New Roman"/>
          <w:sz w:val="18"/>
          <w:szCs w:val="18"/>
          <w:b w:val="1"/>
          <w:bCs w:val="1"/>
          <w:color w:val="auto"/>
        </w:rPr>
        <w:t>[metrics to be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determined] </w:t>
      </w:r>
      <w:r>
        <w:rPr>
          <w:rFonts w:ascii="Times New Roman" w:cs="Times New Roman" w:eastAsia="Times New Roman" w:hAnsi="Times New Roman"/>
          <w:sz w:val="18"/>
          <w:szCs w:val="18"/>
          <w:color w:val="auto"/>
        </w:rPr>
        <w:t>and (ii) the satisfaction of time-based service vesting requirements (except as provided in Section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more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below. The weighting of the performance goals (i.e., the percentage of the Target Number of Performance Shares eligible to vest based on the achievement of each goal) shall be as follows: </w:t>
      </w:r>
      <w:r>
        <w:rPr>
          <w:rFonts w:ascii="Times New Roman" w:cs="Times New Roman" w:eastAsia="Times New Roman" w:hAnsi="Times New Roman"/>
          <w:sz w:val="18"/>
          <w:szCs w:val="18"/>
          <w:b w:val="1"/>
          <w:bCs w:val="1"/>
          <w:color w:val="auto"/>
        </w:rPr>
        <w:t>[metric weighting to be determined]</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used herein, </w:t>
      </w:r>
      <w:r>
        <w:rPr>
          <w:rFonts w:ascii="Times New Roman" w:cs="Times New Roman" w:eastAsia="Times New Roman" w:hAnsi="Times New Roman"/>
          <w:sz w:val="18"/>
          <w:szCs w:val="18"/>
          <w:b w:val="1"/>
          <w:bCs w:val="1"/>
          <w:color w:val="auto"/>
        </w:rPr>
        <w:t>[metrics to be defined]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p>
    <w:p>
      <w:pPr>
        <w:spacing w:after="0" w:line="18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[Performance vesting of shares based on performance against metrics to be determined and defined, with payouts ranging from a threshold of 10% of target shares to a maximum of 200% of target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of the fixed Shares above, 100% of the fixed Shares will vest on the first anniversary of the 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Participant’s electronic acceptance and the electronic signature of the Artivion, Inc (the “Company”) representative below, Participant and the Company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 that this Award is granted under and governed by the terms and conditions of the Plan and this Award Agreement, including exhibits hereto, all of which are made a part of this document. Should the Plan and this Award Agreement conflict, the Plan governs. Participant has reviewed the Plan and this Award Agreement in their entirety, has had an opportunity to obtain the advice of counsel prior to executing this Award Agreement and fully understands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all provisions of the Plan and Award Agreement. Participant hereby agrees to accept as binding, conclusive and final all decisions or interpretations of the Company upon any questions relating to the Plan and Award Agreement. Participant further agrees to notify the Company upon any change in the residence address indicated below.</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347" w:right="339" w:bottom="1440" w:gutter="0" w:footer="0" w:header="0"/>
          <w:type w:val="continuous"/>
        </w:sectPr>
      </w:pPr>
    </w:p>
    <w:bookmarkStart w:id="110" w:name="page111"/>
    <w:bookmarkEnd w:id="110"/>
    <w:p>
      <w:pPr>
        <w:spacing w:after="0" w:line="17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7"/>
          <w:szCs w:val="17"/>
          <w:b w:val="1"/>
          <w:bCs w:val="1"/>
          <w:color w:val="auto"/>
        </w:rPr>
        <w:t>After reviewing the documents noted above, please accept this Performance Share Award online where indicated on ETrade.com and retain a copy for your files. Please note that your electronic acceptance of this Performance Share Award is required. The Performance Share Award will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cancelled if not accepted within 30 days of the Grant Date noted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P. Mackin//</w:t>
      </w:r>
    </w:p>
    <w:p>
      <w:pPr>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SHARE AWARD</w:t>
      </w:r>
    </w:p>
    <w:p>
      <w:pPr>
        <w:spacing w:after="0" w:line="189" w:lineRule="exact"/>
        <w:rPr>
          <w:sz w:val="20"/>
          <w:szCs w:val="20"/>
          <w:color w:val="auto"/>
        </w:rPr>
      </w:pPr>
    </w:p>
    <w:p>
      <w:pPr>
        <w:jc w:val="both"/>
        <w:ind w:firstLine="656"/>
        <w:spacing w:after="0" w:line="212"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Participant must be an employee of the Company, CryoLife International, Inc., or another eligible employer approved by the Company’s Compensation Committee (the “Committee”) of its Board of Directors (each, an “Eligible Employer”) on the applicable vesting date to be entitled to the vesting of the Award on such date. If Participant ceases to be an employee of an Eligible Employer for any reason (excluding retirement but including, without limitation, by reason of death or disability), then the portion of the Award that has not vested as of the date of termination of service shall automatically be forfeited and cancelled as of the date of such termination of service, unless the Committee waives this employment requirement or accelerates the vesting as permitted by the Plan. Effective for grants made on or after January 1, 2022, upon a Participant’s Retirement, as determined by the Committee, this Award will continue to vest and settle in accordance with the provisions of the Notice of Grant subject to an agreement between the Participant and the Company for continuation of the Participant’s non-compete agreement for the remaining vesting period of the Award (the “Non-Compete Agreement”). In consideration of continued retirement vesting, the Participant (or other holder of such Award) must, if requested by the Company, execute a release, in the form provided by the Company, releasing the Board, the Company, its Subsidiaries, and their respective equityholders, officers, directors, managers, employees, representatives, and agents from any and all claims and causes of action of any kind or character the Participant (or holder) may have, but excluding all vested benefits the Participant may have under any employee benefit plan that is subject to ERISA. Such release must be executed no later than 21 or 45 days (whichever is provided in the form of release) following the date the release is provided to the Participant (or other holder) and must have become irrevocable to entitle the Participant (or other holder) to any payment. Whether or not a release is timely executed or becomes irrevocable, this Award will automatically be forfeited, terminate and be null and void in the event the Participant violates the Non-Compete Agreement, as determined by the Committee in its discretion. For purposes of this Award Agreement and unless otherwise determined by the Committee, “Retirement” means a termination of employment on or after the date the Participant (a) has attained age 60, (b) performed ten years of service for the Company, and (c) has provided at least six months’ notice of retirement.</w:t>
      </w:r>
    </w:p>
    <w:p>
      <w:pPr>
        <w:spacing w:after="0" w:line="164"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Obligation to Pay</w:t>
      </w:r>
      <w:r>
        <w:rPr>
          <w:rFonts w:ascii="Times New Roman" w:cs="Times New Roman" w:eastAsia="Times New Roman" w:hAnsi="Times New Roman"/>
          <w:sz w:val="18"/>
          <w:szCs w:val="18"/>
          <w:color w:val="auto"/>
        </w:rPr>
        <w:t xml:space="preserve">. Each Performance Share represents the right to receive one (1) share of Company common stock at the target level, and subject to adjustment up or down based upon the Company’s </w:t>
      </w:r>
      <w:r>
        <w:rPr>
          <w:rFonts w:ascii="Times New Roman" w:cs="Times New Roman" w:eastAsia="Times New Roman" w:hAnsi="Times New Roman"/>
          <w:sz w:val="18"/>
          <w:szCs w:val="18"/>
          <w:b w:val="1"/>
          <w:bCs w:val="1"/>
          <w:color w:val="auto"/>
        </w:rPr>
        <w:t>[metric to be determined]</w:t>
      </w:r>
      <w:r>
        <w:rPr>
          <w:rFonts w:ascii="Times New Roman" w:cs="Times New Roman" w:eastAsia="Times New Roman" w:hAnsi="Times New Roman"/>
          <w:sz w:val="18"/>
          <w:szCs w:val="18"/>
          <w:color w:val="auto"/>
        </w:rPr>
        <w:t xml:space="preserve"> performance for ____ as further described in the Notice of Grant, on the date the Performance Share vests in accordance with the vesting schedules described in the Notice of Grant (or at such later time as indicated in this Award Agreement or the Plan). Unless and until the Award vests, Participant will have no right to payment of Shares with respect to any such Performance Shares. Prior to actual payment of any Shares with respect to any Performance Shares, such Performance Shares will represent an unfunded, unsecured obligation of the Company, payable (if at all) only from the general assets of the Company. The number of Shares subject to the Award, i.e., the relevant percentage of target shares that will be issued if time vesting requirements are satisfied, will be determined on and as of the date of filing of the Company’s Form 10-K for fiscal ____ with the Securities and Exchange Commission. Shares will be rounded down to the nearest whole number. No fractional Shares will be issued. </w:t>
      </w:r>
      <w:r>
        <w:rPr>
          <w:rFonts w:ascii="Times New Roman" w:cs="Times New Roman" w:eastAsia="Times New Roman" w:hAnsi="Times New Roman"/>
          <w:sz w:val="18"/>
          <w:szCs w:val="18"/>
          <w:b w:val="1"/>
          <w:bCs w:val="1"/>
          <w:color w:val="auto"/>
        </w:rPr>
        <w:t>Notwithstanding anything to the contrary contained herein, at any time prior to the first anniversary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Grant Date, the Committee, in its sole discretion, may reduce the number of Shares to be issued hereunder, but in no event may the number of Shares to be issued be reduced below the target number of Shares. Participant will receive written notice of any such reduction.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940" w:hanging="648"/>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 Except as otherwise provided in this Agreement or the Plan, any Performance Shares that vest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accordance with this Award Agreement shall be paid to Participant (or in the event of Participant’s death, to Participant’s estate), in whole Shares within thirty (30) days after the date on which such Performance Shares vest or as soon as administratively practicable thereafter, but in no event later than the date that is two and one-half months following the later of (i) the end of the Company’s taxable year; or (ii) the end of Participant’s taxable year that includes the vesting date. Notwithstanding anything in the Plan or this Award Agreement to the contrary, payment to Participant of Shares upon the vesting of a Performance Share shall be delayed to the extent required by Section 409A of the Internal Revenue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80" w:lineRule="exact"/>
        <w:rPr>
          <w:sz w:val="20"/>
          <w:szCs w:val="20"/>
          <w:color w:val="auto"/>
        </w:rPr>
      </w:pPr>
    </w:p>
    <w:p>
      <w:pPr>
        <w:jc w:val="both"/>
        <w:ind w:left="1960" w:hanging="656"/>
        <w:spacing w:after="0" w:line="231" w:lineRule="auto"/>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Upon a Change of Control</w:t>
      </w:r>
      <w:r>
        <w:rPr>
          <w:rFonts w:ascii="Times New Roman" w:cs="Times New Roman" w:eastAsia="Times New Roman" w:hAnsi="Times New Roman"/>
          <w:sz w:val="18"/>
          <w:szCs w:val="18"/>
          <w:color w:val="auto"/>
        </w:rPr>
        <w:t>. Notwithstanding the foregoing or anything in the Grant Notice or Plan to the contrary, upon a Change of Control Event, no portion of the Award may have accelerated vesting unless such Change of Control Event meets the requirements below and any such acceleration of vesting is subject to the conditions below.</w:t>
      </w:r>
    </w:p>
    <w:p>
      <w:pPr>
        <w:spacing w:after="0" w:line="158" w:lineRule="exact"/>
        <w:rPr>
          <w:rFonts w:ascii="Times New Roman" w:cs="Times New Roman" w:eastAsia="Times New Roman" w:hAnsi="Times New Roman"/>
          <w:sz w:val="18"/>
          <w:szCs w:val="18"/>
          <w:color w:val="auto"/>
        </w:rPr>
      </w:pPr>
    </w:p>
    <w:p>
      <w:pPr>
        <w:jc w:val="both"/>
        <w:ind w:left="2280" w:hanging="328"/>
        <w:spacing w:after="0" w:line="231" w:lineRule="auto"/>
        <w:tabs>
          <w:tab w:leader="none" w:pos="2274"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Requirements. The change of control provisions for the Agreement are more restrictive than those contained in the Plan, and where the Agreement and the Plan are in conflict, the Agreement controls. An acceleration of the equity granted under this Agreement due to a Change of Control Event can only occur when the following two (2) conditions are both met:</w:t>
      </w:r>
    </w:p>
    <w:p>
      <w:pPr>
        <w:spacing w:after="0" w:line="158" w:lineRule="exact"/>
        <w:rPr>
          <w:rFonts w:ascii="Times New Roman" w:cs="Times New Roman" w:eastAsia="Times New Roman" w:hAnsi="Times New Roman"/>
          <w:sz w:val="18"/>
          <w:szCs w:val="18"/>
          <w:color w:val="010000"/>
        </w:rPr>
      </w:pPr>
    </w:p>
    <w:p>
      <w:pPr>
        <w:jc w:val="both"/>
        <w:ind w:left="2920" w:hanging="320"/>
        <w:spacing w:after="0" w:line="220" w:lineRule="auto"/>
        <w:tabs>
          <w:tab w:leader="none" w:pos="2908" w:val="left"/>
        </w:tabs>
        <w:numPr>
          <w:ilvl w:val="2"/>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First, the Change of Control Event must occur. A Change of Control Event is limited to a Change in Ownership of the Company, as defined in Section 11(c)(1) of the Plan. A Change in Effective Control of the Company or a Change in Ownership of a Substantial Portion of the Company’s Assets, as defined in Section 11 of the Plan, and a merger of equals in any form, are specifically excluded and do not constitute a Change of Control Event for the purpose of this Agreement.</w:t>
      </w:r>
    </w:p>
    <w:p>
      <w:pPr>
        <w:spacing w:after="0" w:line="171" w:lineRule="exact"/>
        <w:rPr>
          <w:rFonts w:ascii="Times New Roman" w:cs="Times New Roman" w:eastAsia="Times New Roman" w:hAnsi="Times New Roman"/>
          <w:sz w:val="18"/>
          <w:szCs w:val="18"/>
          <w:color w:val="010000"/>
        </w:rPr>
      </w:pPr>
    </w:p>
    <w:p>
      <w:pPr>
        <w:jc w:val="both"/>
        <w:ind w:left="2920" w:hanging="320"/>
        <w:spacing w:after="0" w:line="215" w:lineRule="auto"/>
        <w:tabs>
          <w:tab w:leader="none" w:pos="2908" w:val="left"/>
        </w:tabs>
        <w:numPr>
          <w:ilvl w:val="2"/>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Second, the Participant’s employment with the Company is terminated by the Company not for Cause or by Participant for Good Reason (as such terms are defined below) within the six (6) month period prior to or the two</w:t>
      </w:r>
    </w:p>
    <w:p>
      <w:pPr>
        <w:ind w:left="2920"/>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(2) year period following the effective date of the Change of Control Event.</w:t>
      </w:r>
    </w:p>
    <w:p>
      <w:pPr>
        <w:spacing w:after="0" w:line="178" w:lineRule="exact"/>
        <w:rPr>
          <w:rFonts w:ascii="Times New Roman" w:cs="Times New Roman" w:eastAsia="Times New Roman" w:hAnsi="Times New Roman"/>
          <w:sz w:val="18"/>
          <w:szCs w:val="18"/>
          <w:color w:val="010000"/>
        </w:rPr>
      </w:pPr>
    </w:p>
    <w:p>
      <w:pPr>
        <w:ind w:left="2600" w:hanging="648"/>
        <w:spacing w:after="0"/>
        <w:tabs>
          <w:tab w:leader="none" w:pos="2600" w:val="left"/>
        </w:tabs>
        <w:numPr>
          <w:ilvl w:val="1"/>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Definitions.</w:t>
      </w:r>
    </w:p>
    <w:p>
      <w:pPr>
        <w:spacing w:after="0" w:line="184" w:lineRule="exact"/>
        <w:rPr>
          <w:rFonts w:ascii="Times New Roman" w:cs="Times New Roman" w:eastAsia="Times New Roman" w:hAnsi="Times New Roman"/>
          <w:sz w:val="18"/>
          <w:szCs w:val="18"/>
          <w:color w:val="010000"/>
        </w:rPr>
      </w:pPr>
    </w:p>
    <w:p>
      <w:pPr>
        <w:jc w:val="both"/>
        <w:ind w:left="2920" w:hanging="320"/>
        <w:spacing w:after="0" w:line="215" w:lineRule="auto"/>
        <w:tabs>
          <w:tab w:leader="none" w:pos="2908" w:val="left"/>
        </w:tabs>
        <w:numPr>
          <w:ilvl w:val="2"/>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Agreement, “Cause” shall mean: (i) an act of fraud, embezzlement, theft, or any other material violation of law that occurs during or in the course of the Participant’s employment with the Company; (ii) intentional or grossly negligent damage by Participant to the Company’s assets; (iii) intentional or grossly negligent disclosure by Participant of the Company’s confidential information contrary to the Company’s policies; (iv) material breach of the Participant's obligations under this Agreement or any other agreement with the Company; (v) engagement by the Participant in any activity which would constitute a breach of the Participant’s duty of loyalty or of the Participant’s assigned duties; (vi) breach by the Participant of any of the Company’s policies and procedures; (vii) the willful and continued failure by Participant to perform the Participant’s assigned duties (other than as a result of incapacity due to physical or mental illness); or (viii) willful conduct by the Participant that is demonstrably and materially injurious to the Company, monetarily or otherwise.</w:t>
      </w:r>
    </w:p>
    <w:p>
      <w:pPr>
        <w:spacing w:after="0" w:line="157" w:lineRule="exact"/>
        <w:rPr>
          <w:rFonts w:ascii="Times New Roman" w:cs="Times New Roman" w:eastAsia="Times New Roman" w:hAnsi="Times New Roman"/>
          <w:sz w:val="18"/>
          <w:szCs w:val="18"/>
          <w:color w:val="010000"/>
        </w:rPr>
      </w:pPr>
    </w:p>
    <w:p>
      <w:pPr>
        <w:jc w:val="both"/>
        <w:ind w:left="2920" w:hanging="320"/>
        <w:spacing w:after="0" w:line="213" w:lineRule="auto"/>
        <w:tabs>
          <w:tab w:leader="none" w:pos="2908" w:val="left"/>
        </w:tabs>
        <w:numPr>
          <w:ilvl w:val="2"/>
          <w:numId w:val="3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For purposes of this Agreement, “Good Reason” shall mean the assignment to the Participant, without the Participant’s consent, of any duties materially inconsistent with the Participant’s position (including changes in status, offices, or titles and any change in the Participant's reporting requirements that would cause Participant to report to a Participant who is junior in seniority to the employee to whom Participant reports at the time of the change of control), authority, duties or responsibilities, determined as of the later of the date of this Agreement or the date of any modification to Participant’s position (including status, offices, titles, and reporting requirements, as described above), authority, duties, or responsibilities that is agreed to by Participant, or any other action by the Company that results in a material diminution in such position, authority, duties, responsibilities, or Participant’s aggregate compensation, excluding for this purpose an isolated, insubstantial, and inadvertent action taken in good faith and which is remedied by the Company within thirty (30) days after receipt of notice thereof given by the Participant (each of these an “Event” for purposes of this Section 4(b)). Participant must notify the Company of any Event that constitutes Good Reason within ninety (90) days following Participant’s knowledge of the existence of such Event or such Event shall not constitute Good Reason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80" w:lineRule="exact"/>
        <w:rPr>
          <w:sz w:val="20"/>
          <w:szCs w:val="20"/>
          <w:color w:val="auto"/>
        </w:rPr>
      </w:pPr>
    </w:p>
    <w:p>
      <w:pPr>
        <w:ind w:left="2440" w:right="20" w:hanging="488"/>
        <w:spacing w:after="0" w:line="237" w:lineRule="auto"/>
        <w:tabs>
          <w:tab w:leader="none" w:pos="2440"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Acceleration. All unvested equity granted under this Agreement is eligible for acceleration upon a Change of Control Event.</w:t>
      </w:r>
    </w:p>
    <w:p>
      <w:pPr>
        <w:spacing w:after="0" w:line="171" w:lineRule="exact"/>
        <w:rPr>
          <w:rFonts w:ascii="Times New Roman" w:cs="Times New Roman" w:eastAsia="Times New Roman" w:hAnsi="Times New Roman"/>
          <w:sz w:val="18"/>
          <w:szCs w:val="18"/>
          <w:color w:val="010000"/>
        </w:rPr>
      </w:pPr>
    </w:p>
    <w:p>
      <w:pPr>
        <w:jc w:val="both"/>
        <w:ind w:left="2920" w:hanging="320"/>
        <w:spacing w:after="0" w:line="220" w:lineRule="auto"/>
        <w:tabs>
          <w:tab w:leader="none" w:pos="2908" w:val="left"/>
        </w:tabs>
        <w:numPr>
          <w:ilvl w:val="2"/>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Performance Periods Concluded with Performance Certified Prior to the Effective Date of the Change of Control Event</w:t>
      </w:r>
      <w:r>
        <w:rPr>
          <w:rFonts w:ascii="Times New Roman" w:cs="Times New Roman" w:eastAsia="Times New Roman" w:hAnsi="Times New Roman"/>
          <w:sz w:val="18"/>
          <w:szCs w:val="18"/>
          <w:color w:val="auto"/>
        </w:rPr>
        <w:t>: The number of unvested shares of equity that will accelerate for any performance period that has concluded prior to the effective date of the Change of Control Event and whose performance level of achievement has been certified by the Committee prior to the effective date of the Change of Control Event, is the payout associated with the certified performance level of achievement, as previously determined by the Committee.</w:t>
      </w:r>
    </w:p>
    <w:p>
      <w:pPr>
        <w:spacing w:after="0" w:line="158" w:lineRule="exact"/>
        <w:rPr>
          <w:rFonts w:ascii="Times New Roman" w:cs="Times New Roman" w:eastAsia="Times New Roman" w:hAnsi="Times New Roman"/>
          <w:sz w:val="18"/>
          <w:szCs w:val="18"/>
          <w:color w:val="010000"/>
        </w:rPr>
      </w:pPr>
    </w:p>
    <w:p>
      <w:pPr>
        <w:jc w:val="both"/>
        <w:ind w:left="2920" w:hanging="320"/>
        <w:spacing w:after="0" w:line="213" w:lineRule="auto"/>
        <w:tabs>
          <w:tab w:leader="none" w:pos="2908" w:val="left"/>
        </w:tabs>
        <w:numPr>
          <w:ilvl w:val="2"/>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Performance Periods Not Concluded or Performance Not Certified Prior to the Effective Date of the Change of Control Event</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Change of Control Events occurring between January 1 and March 31 of the first year of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xml:space="preserve">: For such Change of Control Events, the number of unvested shares of equity that will accelerate for all performance periods that have not concluded or whose performance has not been certified by the Committee as of the effective date of the Change of Control Event is, for each such performance period, the payout using the performance level of achievement certified by the Committee for the performance period immediately preceding the Change of Control Event or target, whichever is greater; (b) </w:t>
      </w:r>
      <w:r>
        <w:rPr>
          <w:rFonts w:ascii="Times New Roman" w:cs="Times New Roman" w:eastAsia="Times New Roman" w:hAnsi="Times New Roman"/>
          <w:sz w:val="18"/>
          <w:szCs w:val="18"/>
          <w:u w:val="single" w:color="auto"/>
          <w:color w:val="auto"/>
        </w:rPr>
        <w:t>Change of Control Events occurring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or after April 1 of the first year of any performance period</w:t>
      </w:r>
      <w:r>
        <w:rPr>
          <w:rFonts w:ascii="Times New Roman" w:cs="Times New Roman" w:eastAsia="Times New Roman" w:hAnsi="Times New Roman"/>
          <w:sz w:val="18"/>
          <w:szCs w:val="18"/>
          <w:color w:val="auto"/>
        </w:rPr>
        <w:t>: For such Change of Control Events, the number of unvested shares of equity that will accelerate for performance periods that have not yet concluded as of the effective date of the Change of Control Event is the payout associated with the greater level of achievement of (a) target performance or (b) actual performance (if the Committee has been able to certify actual performance prior to the effective date of the Change of Control Event), both (a) and (b) being determined based on target or actual performance for the period in which the Change of Control Event occurs.</w:t>
      </w:r>
    </w:p>
    <w:p>
      <w:pPr>
        <w:spacing w:after="0" w:line="176" w:lineRule="exact"/>
        <w:rPr>
          <w:rFonts w:ascii="Times New Roman" w:cs="Times New Roman" w:eastAsia="Times New Roman" w:hAnsi="Times New Roman"/>
          <w:sz w:val="18"/>
          <w:szCs w:val="18"/>
          <w:color w:val="010000"/>
        </w:rPr>
      </w:pPr>
    </w:p>
    <w:p>
      <w:pPr>
        <w:jc w:val="both"/>
        <w:ind w:left="2440" w:hanging="488"/>
        <w:spacing w:after="0" w:line="215" w:lineRule="auto"/>
        <w:tabs>
          <w:tab w:leader="none" w:pos="2430" w:val="left"/>
        </w:tabs>
        <w:numPr>
          <w:ilvl w:val="1"/>
          <w:numId w:val="4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Furthermore, if such Change of Control Event is not a “change in the ownership or effective control” or “change in the ownership of a substantial portion of the assets” of the Company within the meaning of Section 1.409A-3(i)(5) of the United States Treasury Regulations, then such accelerated PSUs shall not be paid until the applicable vesting date of such PSUs, as set forth in the Notice of Grantor if earlier, the date of Participant’s death, disability or “separation from service” within the meaning of Section 409A of the Code from the Company (a “Separation from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pursuant to this Section 3(b) is to be made upon Participant’s Separation from Service and as of the date of Participant’s Separation from Service Participant is a “specified employee” within the meaning of Section 409A of the Code then payment of the Shares with respect to the Performance Shares subject to this Section 3(b) shall not be made until the date that is six (6) months and one day following the date of Participant’s Separation from Service if earlier payment would result in the imposition of the additional tax under Section 409A of the Code.</w:t>
      </w:r>
    </w:p>
    <w:p>
      <w:pPr>
        <w:spacing w:after="0" w:line="157" w:lineRule="exact"/>
        <w:rPr>
          <w:rFonts w:ascii="Times New Roman" w:cs="Times New Roman" w:eastAsia="Times New Roman" w:hAnsi="Times New Roman"/>
          <w:sz w:val="18"/>
          <w:szCs w:val="18"/>
          <w:color w:val="010000"/>
        </w:rPr>
      </w:pPr>
    </w:p>
    <w:p>
      <w:pPr>
        <w:jc w:val="both"/>
        <w:ind w:firstLine="656"/>
        <w:spacing w:after="0" w:line="215" w:lineRule="auto"/>
        <w:tabs>
          <w:tab w:leader="none" w:pos="12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Subject to the satisfaction of any tax withholding obligations described in Section 6 below, Participant may elect to defer the receipt of the Award until Participant separates from the Company, including upon retirement, death, disability, or a Change of Control, as such term is defined in the Plan. Participant may elect to defer the receipt of the Award by submitting to the Company a deferral election in the form provided by the Company. In the event Participant intends to defer the receipt of the Award, Participant must submit to the Company a completed deferral election form no later than thirty (30) days from the Grant Date (the completed form submission date being the “Final Election Date”). A deferred Award will vest no earlier than twelve (12) months from the Final Election Date. By submitting such deferral election, Participant represents that he/she understands the effect of any such deferral under relevant federal, state, and local tax and social security laws, including, but not limited to, the fact that FICA taxes may be due upon vesting notwithstanding the deferral election. Any deferral election is irrevocable on the Final Election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80" w:lineRule="exact"/>
        <w:rPr>
          <w:sz w:val="20"/>
          <w:szCs w:val="20"/>
          <w:color w:val="auto"/>
        </w:rPr>
      </w:pPr>
    </w:p>
    <w:p>
      <w:pPr>
        <w:jc w:val="both"/>
        <w:ind w:firstLine="656"/>
        <w:spacing w:after="0" w:line="220"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Performance Shares Prior to Vesting</w:t>
      </w:r>
      <w:r>
        <w:rPr>
          <w:rFonts w:ascii="Times New Roman" w:cs="Times New Roman" w:eastAsia="Times New Roman" w:hAnsi="Times New Roman"/>
          <w:sz w:val="18"/>
          <w:szCs w:val="18"/>
          <w:color w:val="auto"/>
        </w:rPr>
        <w:t>. Participant may not transfer or otherwise assign the Award or the Shares subject to the Award prior to vesting. As this Award vests, Participant may receive certificates representing the vested portion or the Shares to be issued or the Shares may be issued in uncertificated form. Prior to issuance of Shares, Participant is not entitled to any rights as a shareholder with respect to the Shares underlying this Award. As a result, subject to the provisions of the Plan, Participant will have no rights to vote such Shares or to receive dividends or other distributions, if any, payable with respect to such Shares after the Grant Date but prior to the issuance of the Shares subsequent to vesting.</w:t>
      </w:r>
    </w:p>
    <w:p>
      <w:pPr>
        <w:spacing w:after="0" w:line="171"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Notwithstanding any contrary provision of this Award Agreement, no Shares will be issued to Participant unless and until satisfactory arrangements (as determined by the Committee) have been made by Participant with respect to the payment of federal, state, local or foreign income, employment and other taxes which the Committee determines must be withheld (“Tax Related Items”) with respect to the Shares so issuable. The Committee hereby allows Participant, pursuant to such procedures as the Committee may specify from time to time, to satisfy such Tax Related Items, in whole or in part (without limitation) by one or more of the following: (a) paying cash; (b) selling on the open market otherwise deliverable Shares having a Fair Market Value, as defined in the Plan, equal to the amount needed to cover the Tax Related Items; or (c) electing to have the Company withhold otherwise deliverable Shares having a Fair Market Value, as defined in the Plan, equal to the amount of the Tax Related Items required to be withheld. If the obligation for Tax Related Items is satisfied by selling Shares on the open market or withholding a number of Shares as described above, Participant will be deemed to have been issued the full number of Shares subject to the vested Performance Shares, notwithstanding that a number of the Shares are sold or held back solely for the purpose of paying the Tax Related Items due as a result of any aspect of the Award. If Participant fails to make satisfactory arrangements for the payment of the Tax Related Items at the time any portion of the Award is scheduled to vest, Participant will permanently forfeit such portion of the Award and no Shares will be issued to Participant pursuant to them.</w:t>
      </w:r>
    </w:p>
    <w:p>
      <w:pPr>
        <w:spacing w:after="0" w:line="171"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delivered pursuant to this Award Agreement shall be in writing and shall be (i) delivered by hand, (ii) mailed by United States certified mail, return receipt requested, postage prepaid, (iii) sent by an internationally recognized courier which maintains evidence of delivery and receipt, or (iv) sent by email to corpsecretary@Artivion.com. All notices or other communications shall be directed to the following addresses (or to such other addresses as such parties may designate by notice to the other parties):</w:t>
      </w:r>
    </w:p>
    <w:p>
      <w:pPr>
        <w:spacing w:after="0" w:line="147"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18"/>
          <w:szCs w:val="18"/>
          <w:color w:val="auto"/>
        </w:rPr>
        <w:t>To the Company:</w:t>
        <w:tab/>
        <w:t>Artivion, Inc.</w:t>
      </w:r>
    </w:p>
    <w:p>
      <w:pPr>
        <w:ind w:left="3240"/>
        <w:spacing w:after="0" w:line="219" w:lineRule="auto"/>
        <w:rPr>
          <w:sz w:val="20"/>
          <w:szCs w:val="20"/>
          <w:color w:val="auto"/>
        </w:rPr>
      </w:pPr>
      <w:r>
        <w:rPr>
          <w:rFonts w:ascii="Times New Roman" w:cs="Times New Roman" w:eastAsia="Times New Roman" w:hAnsi="Times New Roman"/>
          <w:sz w:val="18"/>
          <w:szCs w:val="18"/>
          <w:color w:val="auto"/>
        </w:rPr>
        <w:t>1655 Roberts Blvd., NW</w:t>
      </w:r>
    </w:p>
    <w:p>
      <w:pPr>
        <w:ind w:left="3240"/>
        <w:spacing w:after="0" w:line="203" w:lineRule="auto"/>
        <w:rPr>
          <w:sz w:val="20"/>
          <w:szCs w:val="20"/>
          <w:color w:val="auto"/>
        </w:rPr>
      </w:pPr>
      <w:r>
        <w:rPr>
          <w:rFonts w:ascii="Times New Roman" w:cs="Times New Roman" w:eastAsia="Times New Roman" w:hAnsi="Times New Roman"/>
          <w:sz w:val="18"/>
          <w:szCs w:val="18"/>
          <w:color w:val="auto"/>
        </w:rPr>
        <w:t>Kennesaw, GA 30144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Corporate Secretary</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Participant: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set forth in the Notice of Grant.</w:t>
      </w:r>
    </w:p>
    <w:p>
      <w:pPr>
        <w:spacing w:after="0" w:line="198" w:lineRule="exact"/>
        <w:rPr>
          <w:sz w:val="20"/>
          <w:szCs w:val="20"/>
          <w:color w:val="auto"/>
        </w:rPr>
      </w:pPr>
    </w:p>
    <w:p>
      <w:pPr>
        <w:sectPr>
          <w:pgSz w:w="11900" w:h="16838" w:orient="portrait"/>
          <w:cols w:equalWidth="0" w:num="2">
            <w:col w:w="2360" w:space="360"/>
            <w:col w:w="8520"/>
          </w:cols>
          <w:pgMar w:left="320" w:top="1440" w:right="339" w:bottom="1440" w:gutter="0" w:footer="0" w:header="0"/>
          <w:type w:val="continuous"/>
        </w:sectPr>
      </w:pPr>
    </w:p>
    <w:p>
      <w:pPr>
        <w:jc w:val="both"/>
        <w:ind w:firstLine="656"/>
        <w:spacing w:after="0" w:line="212" w:lineRule="auto"/>
        <w:tabs>
          <w:tab w:leader="none" w:pos="12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Failure by Participant or the Company at any time or times to require performance by the other of any provisions in this Award Agreement will not affect the right to enforce those provisions. Any waiver by Participant or the Company of any condition or of any breach of any term or provision in this Award Agreement, whether by conduct or otherwise, in any one or more instances, shall apply only to that instance and will not be deemed to waive conditions or breaches in the future. If any court of competent jurisdiction holds that any term or provision of this Award Agreement is invalid or unenforceable, the remaining terms and provisions will continue in full force and effect, and this Award Agreement shall be deemed to be amended automatically to exclude the offending provision. This Award Agreement may be executed in multiple copies and each executed copy shall be an original of this Award Agreement. This Award Agreement shall be subject to and governed by the laws of the State of Georgia. No change or modification of this Award Agreement shall be valid unless it is in writing and signed by the party against which enforcement is sought, except where specifically provided to the contrary herein. This Award Agreement shall be binding upon, and inure to the benefit of, the permitted successors, assigns, heirs, executors and legal representatives of the parties hereto. The headings of each section of this Award Agreement are for convenience only. This Award Agreement, together with the Plan, contains the entire agreement of the parties hereto, and no representation, inducement, promise, or agreement or other similar understanding between the parties not embodied herein shall be of any force or effect, and no party will be liable or bound in any manner for any warranty, representation, or covenant except as specifically set forth herein or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type w:val="continuous"/>
        </w:sectPr>
      </w:pPr>
    </w:p>
    <w:bookmarkStart w:id="115" w:name="page116"/>
    <w:bookmarkEnd w:id="115"/>
    <w:p>
      <w:pPr>
        <w:spacing w:after="0" w:line="180" w:lineRule="exact"/>
        <w:rPr>
          <w:sz w:val="20"/>
          <w:szCs w:val="20"/>
          <w:color w:val="auto"/>
        </w:rPr>
      </w:pPr>
    </w:p>
    <w:p>
      <w:pPr>
        <w:jc w:val="both"/>
        <w:ind w:firstLine="656"/>
        <w:spacing w:after="0" w:line="217" w:lineRule="auto"/>
        <w:tabs>
          <w:tab w:leader="none" w:pos="12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Agreement and the Award granted hereunder are intended to comply with, or otherwise be exempt from, Section 409A of the Code. This Award Agreement and the Award shall be administered, interpreted and construed in a manner consistent with such Code section. Should any provision of this Award Agreement or the Award be found not to comply with, or otherwise be exempt from, the provisions of Section 409A of the Code, it shall be modified and given effect, in the sole discretion of the Committee and without requiring Participant’s consent (notwithstanding any other provisions hereof), in such manner as the Committee determines to be necessary or appropriate to comply with, or effectuate an exemption from, Section 409A of the Code. Each amount payable under this Award Agreement as a payment upon vesting of a Performance Share is designated as a separate identified payment for purposes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10.3(g)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rPr>
          <w:sz w:val="20"/>
          <w:szCs w:val="20"/>
          <w:color w:val="auto"/>
        </w:rPr>
      </w:pPr>
      <w:r>
        <w:rPr>
          <w:rFonts w:ascii="Times New Roman" w:cs="Times New Roman" w:eastAsia="Times New Roman" w:hAnsi="Times New Roman"/>
          <w:sz w:val="18"/>
          <w:szCs w:val="18"/>
          <w:b w:val="1"/>
          <w:bCs w:val="1"/>
          <w:color w:val="auto"/>
        </w:rPr>
        <w:t>Total No.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ARTIVION,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EQUITY AND CASH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AWARD AGREEMENT</w:t>
      </w:r>
    </w:p>
    <w:p>
      <w:pPr>
        <w:spacing w:after="0" w:line="3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Artivion, Inc. 2020 Equity and Cash Incentive Plan (the “Plan”) will have the same defined meanings in this Performance Share Award Agreement, including the Notice of Stock Unit Grant (the “Notice of Grant”) and the Terms and Conditions of Performance Share Award,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the (“Award Agreement”).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 STOCK UNIT GRANT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Participant has been granted a Performance Share Unit, subject to the terms and conditions of the Plan and this Award Agreement,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Target Units of Stock Unit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Performance Stock Units</w:t>
      </w:r>
      <w:r>
        <w:rPr>
          <w:sz w:val="20"/>
          <w:szCs w:val="20"/>
          <w:color w:val="auto"/>
        </w:rPr>
        <w:tab/>
      </w:r>
      <w:r>
        <w:rPr>
          <w:rFonts w:ascii="Times New Roman" w:cs="Times New Roman" w:eastAsia="Times New Roman" w:hAnsi="Times New Roman"/>
          <w:sz w:val="17"/>
          <w:szCs w:val="17"/>
          <w:b w:val="1"/>
          <w:bCs w:val="1"/>
          <w:color w:val="auto"/>
        </w:rPr>
        <w:t>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Award will vest, and common stock (“Shares”) of Artivion, Inc. (the “Company”) will be issued, based on attaining specified levels of </w:t>
      </w:r>
      <w:r>
        <w:rPr>
          <w:rFonts w:ascii="Times New Roman" w:cs="Times New Roman" w:eastAsia="Times New Roman" w:hAnsi="Times New Roman"/>
          <w:sz w:val="18"/>
          <w:szCs w:val="18"/>
          <w:b w:val="1"/>
          <w:bCs w:val="1"/>
          <w:color w:val="auto"/>
        </w:rPr>
        <w:t>[metrics to be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determined] </w:t>
      </w:r>
      <w:r>
        <w:rPr>
          <w:rFonts w:ascii="Times New Roman" w:cs="Times New Roman" w:eastAsia="Times New Roman" w:hAnsi="Times New Roman"/>
          <w:sz w:val="18"/>
          <w:szCs w:val="18"/>
          <w:color w:val="auto"/>
        </w:rPr>
        <w:t>and (ii) the satisfaction of time-based service vesting requirements (except as provided in Section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more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below. The weighting of the performance goals (i.e., the percentage of the Target Number of Performance Shares eligible to vest based on the achievement of each goal) shall be as follows: </w:t>
      </w:r>
      <w:r>
        <w:rPr>
          <w:rFonts w:ascii="Times New Roman" w:cs="Times New Roman" w:eastAsia="Times New Roman" w:hAnsi="Times New Roman"/>
          <w:sz w:val="18"/>
          <w:szCs w:val="18"/>
          <w:b w:val="1"/>
          <w:bCs w:val="1"/>
          <w:color w:val="auto"/>
        </w:rPr>
        <w:t>[metric weighting to be determined]</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used herein, </w:t>
      </w:r>
      <w:r>
        <w:rPr>
          <w:rFonts w:ascii="Times New Roman" w:cs="Times New Roman" w:eastAsia="Times New Roman" w:hAnsi="Times New Roman"/>
          <w:sz w:val="18"/>
          <w:szCs w:val="18"/>
          <w:b w:val="1"/>
          <w:bCs w:val="1"/>
          <w:color w:val="auto"/>
        </w:rPr>
        <w:t>[metrics to be defined]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p>
    <w:p>
      <w:pPr>
        <w:spacing w:after="0" w:line="18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[Performance vesting of shares based on performance against metrics to be determined and defined, with payouts ranging from a threshold of 60% of target shares to a maximum of 150% of target shares.]</w:t>
      </w:r>
    </w:p>
    <w:p>
      <w:pPr>
        <w:spacing w:after="0" w:line="14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For all of the fixed Shares above, 50% of the fixed Shares will vest on the first anniversary of the Grant Date, 25% of the fixed Shares will vest on the second anniversary of the Grant Date, and the final 25% of the fixed Shares will vest on the third anniversary of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347" w:right="339" w:bottom="1440" w:gutter="0" w:footer="0" w:header="0"/>
        </w:sectPr>
      </w:pPr>
    </w:p>
    <w:bookmarkStart w:id="117" w:name="page118"/>
    <w:bookmarkEnd w:id="117"/>
    <w:p>
      <w:pPr>
        <w:spacing w:after="0" w:line="1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By Participant’s electronic acceptance and the electronic signature of the Artivion, Inc (the “Company”) representative below, Participant and the Company agree that this Award is granted under and governed by the terms and conditions of the Plan and this Award Agreement, including exhibits hereto, all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are made a part of this document. Should the Plan and this Award Agreement conflict, the Plan governs.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upon any questions relating to the Plan and Award Agreement. Participant further agrees to notify the Company upon any change in the residence address indicated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After reviewing the documents noted above, please accept this Performance Share Award online where indicated on ETrade.com and retain a copy</w:t>
      </w:r>
    </w:p>
    <w:p>
      <w:pPr>
        <w:spacing w:after="0" w:line="1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color w:val="auto"/>
        </w:rPr>
        <w:t>for your files. Please note that your electronic acceptance of this Performance Share Award is required. The Performance Share Award will be cancelled if not accepted within 30 days of the Grant Date noted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BY: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P. Mackin//</w:t>
      </w:r>
    </w:p>
    <w:p>
      <w:pPr>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SHARE AWARD</w:t>
      </w:r>
    </w:p>
    <w:p>
      <w:pPr>
        <w:spacing w:after="0" w:line="189" w:lineRule="exact"/>
        <w:rPr>
          <w:sz w:val="20"/>
          <w:szCs w:val="20"/>
          <w:color w:val="auto"/>
        </w:rPr>
      </w:pPr>
    </w:p>
    <w:p>
      <w:pPr>
        <w:jc w:val="both"/>
        <w:ind w:firstLine="656"/>
        <w:spacing w:after="0" w:line="212"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Participant must be an employee of the Company, CryoLife International, Inc., or another eligible employer approved by the Company’s Compensation Committee (the “Committee”) of its Board of Directors (each, an “Eligible Employer”) on the applicable vesting date to be entitled to the vesting of the Award on such date. If Participant ceases to be an employee of an Eligible Employer for any reason (excluding retirement but including, without limitation, by reason of death or disability), then the portion of the Award that has not vested as of the date of termination of service shall automatically be forfeited and cancelled as of the date of such termination of service, unless the Committee waives this employment requirement or accelerates the vesting as permitted by the Plan. Effective for grants made on or after January 1, 2022, upon a Participant’s Retirement, as determined by the Committee, this Award will continue to vest and settle in accordance with the provisions of the Notice of Grant subject to an agreement between the Participant and the Company for continuation of the Participant’s non-compete agreement for the remaining vesting period of the Award (the “Non-Compete Agreement”). In consideration of continued retirement vesting, the Participant (or other holder of such Award) must, if requested by the Company, execute a release, in the form provided by the Company, releasing the Board, the Company, its Subsidiaries, and their respective equityholders, officers, directors, managers, employees, representatives, and agents from any and all claims and causes of action of any kind or character the Participant (or holder) may have, but excluding all vested benefits the Participant may have under any employee benefit plan that is subject to ERISA. Such release must be executed no later than 21 or 45 days (whichever is provided in the form of release) following the date the release is provided to the Participant (or other holder) and must have become irrevocable to entitle the Participant (or other holder) to any payment. Whether or not a release is timely executed or becomes irrevocable, this Award will automatically be forfeited, terminate and be null and void in the event the Participant violates the Non-Compete Agreement, as determined by the Committee in its discretion. For purposes of this Award Agreement and unless otherwise determined by the Committee, “Retirement” means a termination of employment on or after the date the Participant (a) has attained age 60, (b) performed ten years of service for the Company, and (c) has provided at least six months’ notice of retirement.</w:t>
      </w:r>
    </w:p>
    <w:p>
      <w:pPr>
        <w:spacing w:after="0" w:line="164"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Obligation to Pay</w:t>
      </w:r>
      <w:r>
        <w:rPr>
          <w:rFonts w:ascii="Times New Roman" w:cs="Times New Roman" w:eastAsia="Times New Roman" w:hAnsi="Times New Roman"/>
          <w:sz w:val="18"/>
          <w:szCs w:val="18"/>
          <w:color w:val="auto"/>
        </w:rPr>
        <w:t xml:space="preserve">. Each Performance Share represents the right to receive one (1) share of Company common stock at the target level, and subject to adjustment up or down based upon the Company’s </w:t>
      </w:r>
      <w:r>
        <w:rPr>
          <w:rFonts w:ascii="Times New Roman" w:cs="Times New Roman" w:eastAsia="Times New Roman" w:hAnsi="Times New Roman"/>
          <w:sz w:val="18"/>
          <w:szCs w:val="18"/>
          <w:b w:val="1"/>
          <w:bCs w:val="1"/>
          <w:color w:val="auto"/>
        </w:rPr>
        <w:t>[metric to be determined]</w:t>
      </w:r>
      <w:r>
        <w:rPr>
          <w:rFonts w:ascii="Times New Roman" w:cs="Times New Roman" w:eastAsia="Times New Roman" w:hAnsi="Times New Roman"/>
          <w:sz w:val="18"/>
          <w:szCs w:val="18"/>
          <w:color w:val="auto"/>
        </w:rPr>
        <w:t xml:space="preserve"> performance for ____ as further described in the Notice of Grant, on the date the Performance Share vests in accordance with the vesting schedules described in the Notice of Grant (or at such later time as indicated in this Award Agreement or the Plan). Unless and until the Award vests, Participant will have no right to payment of Shares with respect to any such Performance Shares. Prior to actual payment of any Shares with respect to any Performance Shares, such Performance Shares will represent an unfunded, unsecured obligation of the Company, payable (if at all) only from the general assets of the Company. The number of Shares subject to the Award, i.e., the relevant percentage of target shares that will be issued if time vesting requirements are satisfied, will be determined on and as of the date of filing of the Company’s Form 10-K for fiscal ____ with the Securities and Exchange Commission. Shares will be rounded down to the nearest whole number. No fractional Shares will be issued. </w:t>
      </w:r>
      <w:r>
        <w:rPr>
          <w:rFonts w:ascii="Times New Roman" w:cs="Times New Roman" w:eastAsia="Times New Roman" w:hAnsi="Times New Roman"/>
          <w:sz w:val="18"/>
          <w:szCs w:val="18"/>
          <w:b w:val="1"/>
          <w:bCs w:val="1"/>
          <w:color w:val="auto"/>
        </w:rPr>
        <w:t>Notwithstanding anything to the contrary contained herein, at any time prior to the first anniversary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Grant Date, the Committee, in its sole discretion, may reduce the number of Shares to be issued hereunder, but in no event may the number of Shares to be issued be reduced below the target number of Shares. Participant will receive written notice of any such reduction.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940" w:hanging="648"/>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 Except as otherwise provided in this Agreement or the Plan, any Performance Shares that vest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accordance with this Award Agreement shall be paid to Participant (or in the event of Participant’s death, to Participant’s estate), in whole Shares within thirty (30) days after the date on which such Performance Shares vest or as soon as administratively practicable thereafter, but in no event later than the date that is two and one-half months following the later of (i) the end of the Company’s taxable year; or (ii) the end of Participant’s taxable year that includes the vesting date. Notwithstanding anything in the Plan or this Award Agreement to the contrary, payment to Participant of Shares upon the vesting of a Performance Share shall be delayed to the extent required by Section 409A of the Internal Revenue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80" w:lineRule="exact"/>
        <w:rPr>
          <w:sz w:val="20"/>
          <w:szCs w:val="20"/>
          <w:color w:val="auto"/>
        </w:rPr>
      </w:pPr>
    </w:p>
    <w:p>
      <w:pPr>
        <w:jc w:val="both"/>
        <w:ind w:left="1960" w:hanging="656"/>
        <w:spacing w:after="0" w:line="214" w:lineRule="auto"/>
        <w:tabs>
          <w:tab w:leader="none" w:pos="19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Upon a Change of Control</w:t>
      </w:r>
      <w:r>
        <w:rPr>
          <w:rFonts w:ascii="Times New Roman" w:cs="Times New Roman" w:eastAsia="Times New Roman" w:hAnsi="Times New Roman"/>
          <w:sz w:val="18"/>
          <w:szCs w:val="18"/>
          <w:color w:val="auto"/>
        </w:rPr>
        <w:t xml:space="preserve">. If the vesting of the balance, or some lesser portion of the balance, of the Performance Shares subject to this Award Agreement is accelerated upon a Change of Control, as such term is defined in the Plan, of the Company, and such Change of Control is not a “change in the ownership or effective control” or “change in the ownership of a substantial portion of the assets” of the Company within the meaning of Section 1.409A-3(i)(5) of the United States Treasury Regulations, then such accelerated Performance Shares shall not be paid until the applicable vesting date of such Performance Shares, as set forth on the Notice of Grant, or if earlier, the date of Participant’s death, disability or “separation from service” within the meaning of Section 409A of the Code from the Company (a “Separation from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pursuant to this Section 3(b) is to be made upon Participant’s Separation from Service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Participant’s Separation from Service Participant is a “specified employee” within the meaning of Section 409A of the Code then payment of the Shares with respect to the Performance Shares subject to this Section 3(b) shall not be made until the date that is six (6) months and one day following the date of Participant’s Separation from Service if earlier payment would result in the imposition of the additional tax under Section 409A of the Code.</w:t>
      </w:r>
    </w:p>
    <w:p>
      <w:pPr>
        <w:spacing w:after="0" w:line="161"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Subject to the satisfaction of any tax withholding obligations described in Section 6 below, Participant may elect to defer the receipt of the Award until Participant separates from the Company, including upon retirement, death, disability, or a Change of Control, as such term is defined in the Plan. Participant may elect to defer the receipt of the Award by submitting to the Company a deferral election in the form provided by the Company. In the event Participant intends to defer the receipt of the Award, Participant must submit to the Company a completed deferral election form no later than thirty (30) days from the Grant Date (the completed form submission date being the “Final Election Date”). A deferred Award will vest no earlier than twelve (12) months from the Final Election Date. By submitting such deferral election, Participant represents that he/she understands the effect of any such deferral under relevant federal, state, and local tax and social security laws, including, but not limited to, the fact that FICA taxes may be due upon vesting notwithstanding the deferral election. Any deferral election is irrevocable on the Final Election Date</w:t>
      </w:r>
    </w:p>
    <w:p>
      <w:pPr>
        <w:spacing w:after="0" w:line="177"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Performance Shares Prior to Vesting</w:t>
      </w:r>
      <w:r>
        <w:rPr>
          <w:rFonts w:ascii="Times New Roman" w:cs="Times New Roman" w:eastAsia="Times New Roman" w:hAnsi="Times New Roman"/>
          <w:sz w:val="18"/>
          <w:szCs w:val="18"/>
          <w:color w:val="auto"/>
        </w:rPr>
        <w:t>. Participant may not transfer or otherwise assign the Award or the Shares subject to the Award prior to vesting. As this Award vests, Participant may receive certificates representing the vested portion or the Shares to be issued or the Shares may be issued in uncertificated form. Prior to issuance of Shares, Participant is not entitled to any rights as a shareholder with respect to the Shares underlying this Award. As a result, subject to the provisions of the Plan, Participant will have no rights to vote such Shares or to receive dividends or other distributions, if any, payable with respect to such Shares after the Grant Date but prior to the issuance of the Shares subsequent to vesting.</w:t>
      </w:r>
    </w:p>
    <w:p>
      <w:pPr>
        <w:spacing w:after="0" w:line="158" w:lineRule="exact"/>
        <w:rPr>
          <w:rFonts w:ascii="Times New Roman" w:cs="Times New Roman" w:eastAsia="Times New Roman" w:hAnsi="Times New Roman"/>
          <w:sz w:val="18"/>
          <w:szCs w:val="18"/>
          <w:color w:val="auto"/>
        </w:rPr>
      </w:pPr>
    </w:p>
    <w:p>
      <w:pPr>
        <w:jc w:val="both"/>
        <w:ind w:firstLine="656"/>
        <w:spacing w:after="0" w:line="214"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 Notwithstanding any contrary provision of this Award Agreement, no Shares will be issued to Participant unless and until satisfactory arrangements (as determined by the Committee) have been made by Participant with respect to the payment of federal, state, local or foreign income, employment and other taxes which the Committee determines must be withheld (“Tax Related Items”) with respect to the Shares so issuable. The Committee hereby allows Participant, pursuant to such procedures as the Committee may specify from time to time, to satisfy such Tax Related Items, in whole or in part (without limitation) by one or more of the following: (a) paying cash; (b) selling on the open market otherwise deliverable Shares having a Fair Market Value, as defined in the Plan, equal to the amount needed to cover the Tax Related Items; or (c) electing to have the Company withhold otherwise deliverable Shares having a Fair Market Value, as defined in the Plan, equal to the amount of the Tax Related Items required to be withheld. If the obligation for Tax Related Items is satisfied by selling Shares on the open market or withholding a number of Shares as described above, Participant will be deemed to have been issued the full number of Shares subject to the vested Performance Shares, notwithstanding that a number of the Shares are sold or held back solely for the purpose of paying the Tax Related Items due as a result of any aspect of the Award. If Participant fails to make satisfactory arrangements for the payment of the Tax Related Items at the time any portion of the Award is scheduled to vest, Participant will permanently forfeit such portion of the Award and no Shares will be issued to Participant pursuant to them.</w:t>
      </w:r>
    </w:p>
    <w:p>
      <w:pPr>
        <w:spacing w:after="0" w:line="161"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delivered pursuant to this Award Agreement shall be in writing and shall be (i) delivered by hand, (ii) mailed by United States certified mail, return receipt requested, postage prepaid, (iii) sent by an internationally recognized courier which maintains evidence of delivery and receipt, or (iv) sent by email to corpsecretary@Artivion.com. All notices or other communications shall be directed to the following addresses (or to such other addresses as such parties may designate by notice to the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69"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18"/>
          <w:szCs w:val="18"/>
          <w:color w:val="auto"/>
        </w:rPr>
        <w:t>To the Company:</w:t>
        <w:tab/>
        <w:t>Artivion, Inc.</w:t>
      </w:r>
    </w:p>
    <w:p>
      <w:pPr>
        <w:ind w:left="3240"/>
        <w:spacing w:after="0" w:line="219" w:lineRule="auto"/>
        <w:rPr>
          <w:sz w:val="20"/>
          <w:szCs w:val="20"/>
          <w:color w:val="auto"/>
        </w:rPr>
      </w:pPr>
      <w:r>
        <w:rPr>
          <w:rFonts w:ascii="Times New Roman" w:cs="Times New Roman" w:eastAsia="Times New Roman" w:hAnsi="Times New Roman"/>
          <w:sz w:val="18"/>
          <w:szCs w:val="18"/>
          <w:color w:val="auto"/>
        </w:rPr>
        <w:t>1655 Roberts Blvd., NW</w:t>
      </w:r>
    </w:p>
    <w:p>
      <w:pPr>
        <w:ind w:left="3240"/>
        <w:spacing w:after="0" w:line="203" w:lineRule="auto"/>
        <w:rPr>
          <w:sz w:val="20"/>
          <w:szCs w:val="20"/>
          <w:color w:val="auto"/>
        </w:rPr>
      </w:pPr>
      <w:r>
        <w:rPr>
          <w:rFonts w:ascii="Times New Roman" w:cs="Times New Roman" w:eastAsia="Times New Roman" w:hAnsi="Times New Roman"/>
          <w:sz w:val="18"/>
          <w:szCs w:val="18"/>
          <w:color w:val="auto"/>
        </w:rPr>
        <w:t>Kennesaw, GA 30144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Attention: Corporate Secretary</w:t>
      </w:r>
    </w:p>
    <w:p>
      <w:pPr>
        <w:sectPr>
          <w:pgSz w:w="11900" w:h="16838" w:orient="portrait"/>
          <w:cols w:equalWidth="0" w:num="1">
            <w:col w:w="11240"/>
          </w:cols>
          <w:pgMar w:left="320" w:top="1440" w:right="339" w:bottom="1440" w:gutter="0" w:footer="0" w:header="0"/>
        </w:sectPr>
      </w:pP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Participant: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set forth in the Notice of Grant.</w:t>
      </w:r>
    </w:p>
    <w:p>
      <w:pPr>
        <w:spacing w:after="0" w:line="198" w:lineRule="exact"/>
        <w:rPr>
          <w:sz w:val="20"/>
          <w:szCs w:val="20"/>
          <w:color w:val="auto"/>
        </w:rPr>
      </w:pPr>
    </w:p>
    <w:p>
      <w:pPr>
        <w:sectPr>
          <w:pgSz w:w="11900" w:h="16838" w:orient="portrait"/>
          <w:cols w:equalWidth="0" w:num="2">
            <w:col w:w="2360" w:space="360"/>
            <w:col w:w="8520"/>
          </w:cols>
          <w:pgMar w:left="320" w:top="1440" w:right="339" w:bottom="1440" w:gutter="0" w:footer="0" w:header="0"/>
          <w:type w:val="continuous"/>
        </w:sectPr>
      </w:pPr>
    </w:p>
    <w:p>
      <w:pPr>
        <w:jc w:val="both"/>
        <w:ind w:firstLine="656"/>
        <w:spacing w:after="0" w:line="213"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Failure by Participant or the Company at any time or times to require performance by the other of any provisions in this Award Agreement will not affect the right to enforce those provisions. Any waiver by Participant or the Company of any condition or of any breach of any term or provision in this Award Agreement, whether by conduct or otherwise, in any one or more instances, shall apply only to that instance and will not be deemed to waive conditions or breaches in the future. If any court of competent jurisdiction holds that any term or provision of this Award Agreement is invalid or unenforceable, the remaining terms and provisions will continue in full force and effect, and this Award Agreement shall be deemed to be amended automatically to exclude the offending provision. This Award Agreement may be executed in multiple copies and each executed copy shall be an original of this Award Agreement. This Award Agreement shall be subject to and governed by the laws of the State of Georgia. No change or modification of this Award Agreement shall be valid unless it is in writing and signed by the party against which enforcement is sought, except where specifically provided to the contrary herein. This Award Agreement shall be binding upon, and inure to the benefit of, the permitted successors, assigns, heirs, executors and legal representatives of the parties hereto. The headings of each section of this Award Agreement are for convenience only. This Award Agreement, together with the Plan, contains the entire agreement of the parties hereto, and no representation, inducement, promise, or agreement or other similar understanding between the parties not embodied herein shall be of any force or effect, and no party will be liable or bound in any manner for any warranty, representation, or covenant except as specifically set forth herein or in the Plan.</w:t>
      </w:r>
    </w:p>
    <w:p>
      <w:pPr>
        <w:spacing w:after="0" w:line="163"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Agreement and the Award granted hereunder are intended to comply with, or otherwise be exempt from, Section 409A of the Code. This Award Agreement and the Award shall be administered, interpreted and construed in a manner consistent with such Code section. Should any provision of this Award Agreement or the Award be found not to comply with, or otherwise be exempt from, the provisions of Section 409A of the Code, it shall be modified and given effect, in the sole discretion of the Committee and without requiring Participant’s consent (notwithstanding any other provisions hereof), in such manner as the Committee determines to be necessary or appropriate to comply with, or effectuate an exemption from, Section 409A of the Code. Each amount payable under this Award Agreement as a payment upon vesting of a Performance Share is designated as a separate identified payment for purposes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10.3(h)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rPr>
          <w:sz w:val="20"/>
          <w:szCs w:val="20"/>
          <w:color w:val="auto"/>
        </w:rPr>
      </w:pPr>
      <w:r>
        <w:rPr>
          <w:rFonts w:ascii="Times New Roman" w:cs="Times New Roman" w:eastAsia="Times New Roman" w:hAnsi="Times New Roman"/>
          <w:sz w:val="18"/>
          <w:szCs w:val="18"/>
          <w:b w:val="1"/>
          <w:bCs w:val="1"/>
          <w:color w:val="auto"/>
        </w:rPr>
        <w:t>Total No. of Units: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ARTIVION, INC.</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EQUITY AND CASH INCENTIVE PLAN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8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Artivion, Inc. Equity and Cash Incentive Plan (the “Plan”) will have the same defined meanings in this Restricted Stock Unit Award Agreement, including the Notice of Restricted Stock Unit Grant (the “Notice of Grant”) and the Terms and Conditions of Restricted Stock Unit Award,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the (“Award Agreement”).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AWARD GRANT</w:t>
      </w:r>
    </w:p>
    <w:p>
      <w:pPr>
        <w:spacing w:after="0" w:line="18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undersigned Participant has been granted a Restricted Stock Unit Award, subject to the terms and conditions of the Plan and this Award Agreement,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Restricted Stock Units: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Vest Date</w:t>
            </w: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Participant’s electronic acceptance and the electronic signature of the Artivion, Inc (the “Company”) representative below, Participant and the Company</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agree that this Award is granted under and governed by the terms and conditions of the Plan and this Award Agreement, including exhibits hereto, all of which are made a part of this document. Should the Plan and this Award Agreement conflict, the Plan governs. Participant has reviewed the Plan and this Award Agreement in their entirety, has had an opportunity to obtain the advice of counsel prior to executing this Award Agreement and fully understands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all provisions of the Plan and Award Agreement. Participant hereby agrees to accept as binding, conclusive and final all decisions or interpretations of the Company upon any questions relating to the Plan and Award Agreement. Participant further agrees to notify the Company upon any change in the residence address indicated below.</w:t>
      </w:r>
    </w:p>
    <w:p>
      <w:pPr>
        <w:spacing w:after="0" w:line="168"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b w:val="1"/>
          <w:bCs w:val="1"/>
          <w:color w:val="auto"/>
        </w:rPr>
        <w:t>After reviewing the documents noted above, please accept this Restricted Stock Unit Award online where indicated on ETrade.com and retain a copy for your files. Please note that your electronic acceptance of this Restricted Stock Unit Award is required. The Restricted Stock Unit Award will be cancelled if not accepted within 30 days of the Grant Date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60"/>
          </w:cols>
          <w:pgMar w:left="320" w:top="347" w:right="319" w:bottom="1440" w:gutter="0" w:footer="0" w:header="0"/>
        </w:sectPr>
      </w:pPr>
    </w:p>
    <w:bookmarkStart w:id="122" w:name="page123"/>
    <w:bookmarkEnd w:id="122"/>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3574415" cy="5657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9">
                      <a:extLst>
                        <a:ext uri="{28A0092B-C50C-407E-A947-70E740481C1C}"/>
                      </a:extLst>
                    </a:blip>
                    <a:srcRect/>
                    <a:stretch>
                      <a:fillRect/>
                    </a:stretch>
                  </pic:blipFill>
                  <pic:spPr bwMode="auto">
                    <a:xfrm>
                      <a:off x="0" y="0"/>
                      <a:ext cx="357441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0139"/>
          </w:cols>
          <w:pgMar w:left="320" w:top="1440" w:right="1440"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5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AWARD</w:t>
      </w:r>
    </w:p>
    <w:p>
      <w:pPr>
        <w:spacing w:after="0" w:line="189" w:lineRule="exact"/>
        <w:rPr>
          <w:sz w:val="20"/>
          <w:szCs w:val="20"/>
          <w:color w:val="auto"/>
        </w:rPr>
      </w:pPr>
    </w:p>
    <w:p>
      <w:pPr>
        <w:jc w:val="both"/>
        <w:ind w:firstLine="656"/>
        <w:spacing w:after="0" w:line="212"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Participant must be an employee of the Company or another eligible employer approved by the Company’s Compensation Committee (the “Committee”) of its Board of Directors (each, an “Eligible Employer”) on the applicable vesting date to be entitled to the vesting of the Award on such date. If Participant ceases to be an employee of an Eligible Employer for any reason (excluding retirement but including, without limitation, by reason of death or disability), then the portion of the Award that has not vested as of the date of termination of service shall automatically be forfeited and cancelled as of the date of such termination of service, unless the Committee waives this employment requirement or accelerates the vesting as permitted by the Plan. Effective for grants made on or after January 1, 2022, upon a Participant’s Retirement, as determined by the Committee, this Award will continue to vest and settle in accordance with the provisions of the Notice of Grant subject to an agreement between the Participant and the Company for continuation of the Participant’s non-compete agreement for the remaining vesting period of the Award (the “Non-Compete Agreement”). In consideration of continued retirement vesting, the Participant (or other holder of such Award) must, if requested by the Company, execute a release, in the form provided by the Company, releasing the Board, the Company, its Subsidiaries, and their respective equityholders, officers, directors, managers, employees, representatives, and agents from any and all claims and causes of action of any kind or character the Participant (or holder) may have, but excluding all vested benefits the Participant may have under any employee benefit plan that is subject to ERISA. Such release must be executed no later than 21 or 45 days (whichever is provided in the form of release) following the date the release is provided to the Participant (or other holder) and must have become irrevocable to entitle the Participant (or other holder) to any payment. Whether or not a release is timely executed or becomes irrevocable, this Award will automatically be forfeited, terminate and be null and void in the event the Participant violates the Non-Compete Agreement, as determined by the Committee in its discretion. For purposes of this Award Agreement and unless otherwise determined by the Committee, “Retirement” means a termination of employment on or after the date the Participant (a) has attained age 60, (b) performed ten years of service for the Company, and (c) has provided at least six months’ notice of retirement.</w:t>
      </w:r>
    </w:p>
    <w:p>
      <w:pPr>
        <w:spacing w:after="0" w:line="164"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Obligation to Pay</w:t>
      </w:r>
      <w:r>
        <w:rPr>
          <w:rFonts w:ascii="Times New Roman" w:cs="Times New Roman" w:eastAsia="Times New Roman" w:hAnsi="Times New Roman"/>
          <w:sz w:val="18"/>
          <w:szCs w:val="18"/>
          <w:color w:val="auto"/>
        </w:rPr>
        <w:t>. To the extent vested, each Restricted Stock Unit represents the right to receive one (1) share of Company common stock, subject to the terms and conditions set forth in the Notice of Grant. Unless and until the Award vests, Participant will have no right to payment of Shares with respect to any such Restricted Stock Units. Prior to settlement of the Award, such Restricted Stock Units will represent an unfunded, unsecured obligation of the Company, payable (if at all) only from the general assets of the Company.</w:t>
      </w:r>
    </w:p>
    <w:p>
      <w:pPr>
        <w:spacing w:after="0" w:line="158"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 Except as otherwise provided in this Agreement or the Plan, any Restricted Stock Units that vest in accordance with this Award Agreement shall be paid to Participant (or in the event of Participant’s death, to Participant’s estate), in Shares within thirty (30) days after the date on which such Restricted Stock Units vest or as soon as administratively practicable thereafter, but in no event later than the date that is two and one-half months following the later of (i) the end of the Company’s taxable year; or (ii) the end of Participant’s taxable year that includes the vesting date. Notwithstanding anything in the Plan or this Award Agreement to the contrary, payment to Participant of Shares upon the vesting shall be delayed to the extent required by Section 409A of the Internal Revenue of 1986, as amended (the “Code”).</w:t>
      </w:r>
    </w:p>
    <w:p>
      <w:pPr>
        <w:spacing w:after="0" w:line="157"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Subject to the satisfaction of any tax withholding obligations described in Section 7 below, Participant may elect to defer the receipt of the Award until Participant separates from the Company, including upon retirement, death, disability, or a Change of Control, as such term is defined in the Plan. Participant may elect to defer the receipt of the Award by submitting to the Company a deferral election in the form provided by the Company. In the event Participant intends to defer the receipt of the Award, Participant must submit to the Company a completed deferral election form no later than thirty (30) days from the Grant Date (the completed form submission date being the “Final Election Date”). A deferred Award will vest no earlier than twelve (12) months from the Final Election Date. By submitting such deferral election, Participant represents that he/she understands the effect of any such deferral under relevant federal, state, and local tax and social security laws, including, but not limited to, the fact that FICA taxes may be due upon vesting notwithstanding the deferral election. Any deferral election is irrevocable on the Final Election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80" w:lineRule="exact"/>
        <w:rPr>
          <w:sz w:val="20"/>
          <w:szCs w:val="20"/>
          <w:color w:val="auto"/>
        </w:rPr>
      </w:pPr>
    </w:p>
    <w:p>
      <w:pPr>
        <w:jc w:val="both"/>
        <w:ind w:firstLine="656"/>
        <w:spacing w:after="0" w:line="220"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Award Prior to Vesting</w:t>
      </w:r>
      <w:r>
        <w:rPr>
          <w:rFonts w:ascii="Times New Roman" w:cs="Times New Roman" w:eastAsia="Times New Roman" w:hAnsi="Times New Roman"/>
          <w:sz w:val="18"/>
          <w:szCs w:val="18"/>
          <w:color w:val="auto"/>
        </w:rPr>
        <w:t>. Participant may not transfer or otherwise assign the Award or the Shares subject to the Award prior to vesting. As this Award vests, Participant may receive certificates representing the vested portion or the Shares to be issued or the Shares may be issued in uncertificated form. Prior to issuance of Shares, Participant is not entitled to any rights as a shareholder with respect to the Shares underlying this Award. As a result, subject to the provisions of the Plan, Participant will have no rights to vote such Shares prior to the issuance of the Shares subsequent to vesting.</w:t>
      </w:r>
    </w:p>
    <w:p>
      <w:pPr>
        <w:spacing w:after="0" w:line="17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In the event that the Company declares and pays a dividend in respect of its outstanding Shares on or after the Grant Date and, on the record date for such dividend, Participant holds RSUs granted pursuant to this Agreement that have not been settled, the Company shall pay to Participant an amount in cash equal to the cash dividends Participant would have received if Participant were the holder of record as of such record date, of the number of Shares related to the portion of Participant’s RSUs that have not been settled as of such record date, such payment (“Dividend Equivalents”) to be made on or promptly following the date that the Company pays such dividend (however, in no event shall the Dividend Equivalents be paid later than 30 days following the date on which the Company pays such dividend to its shareholders generally).</w:t>
      </w:r>
    </w:p>
    <w:p>
      <w:pPr>
        <w:spacing w:after="0" w:line="173"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contrary provision of this Award Agreement, no Shares will be issued to Participant unless and until satisfactory arrangements (as determined by the Committee) have been made by Participant with respect to the payment of federal, state, local or foreign income, employment and other taxes which the Committee determines must be withheld (“Tax Related Items”) with respect to the Shares so issuable. The Committee hereby allows Participant, pursuant to such procedures as the Committee may specify from time to time, to satisfy such Tax Related Items, in whole or in part (without limitation) by one or more of the following: (a) paying cash; (b) selling on the open market otherwise deliverable Shares having a Fair Market Value, as defined in the Plan, equal to the amount needed to cover the Tax Related Items; or (c) electing to have the Company withhold otherwise deliverable Shares having a Fair Market Value, as defined in the Plan, equal to the amount of the Tax Related Items required to be withheld. If the obligation for Tax Related Items is satisfied by selling Shares on the open market or withholding a number of Shares as described above, Participant will be deemed to have been issued the full number of Shares subject to the vested Award, notwithstanding that a number of the Shares are sold or held back solely for the purpose of paying the Tax Related Items due as a result of any aspect of the Award. If Participant fails to make satisfactory arrangements for the payment of the Tax Related Items at the time any portion of the Award is scheduled to vest, Participant will permanently forfeit such portion of the Award and no Shares will be issued to Participant pursuant to them.</w:t>
      </w:r>
    </w:p>
    <w:p>
      <w:pPr>
        <w:spacing w:after="0" w:line="171"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delivered pursuant to this Award Agreement shall be in writing and shall be (i) delivered by hand, (ii) mailed by United States certified mail, return receipt requested, postage prepaid, (iii) sent by an internationally recognized courier which maintains evidence of delivery and receipt, or (iv) sent by email to corpsecretary@Artivion.com. All notices or other communications shall be directed to the following addresses (or to such other addresses as such parties may designate by notice to the other parties):</w:t>
      </w:r>
    </w:p>
    <w:p>
      <w:pPr>
        <w:spacing w:after="0" w:line="147"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18"/>
          <w:szCs w:val="18"/>
          <w:color w:val="auto"/>
        </w:rPr>
        <w:t>To the Company:</w:t>
        <w:tab/>
        <w:t>Artivion, Inc.</w:t>
      </w:r>
    </w:p>
    <w:p>
      <w:pPr>
        <w:ind w:left="3240"/>
        <w:spacing w:after="0" w:line="219" w:lineRule="auto"/>
        <w:rPr>
          <w:sz w:val="20"/>
          <w:szCs w:val="20"/>
          <w:color w:val="auto"/>
        </w:rPr>
      </w:pPr>
      <w:r>
        <w:rPr>
          <w:rFonts w:ascii="Times New Roman" w:cs="Times New Roman" w:eastAsia="Times New Roman" w:hAnsi="Times New Roman"/>
          <w:sz w:val="18"/>
          <w:szCs w:val="18"/>
          <w:color w:val="auto"/>
        </w:rPr>
        <w:t>1655 Roberts Blvd., NW</w:t>
      </w:r>
    </w:p>
    <w:p>
      <w:pPr>
        <w:ind w:left="3240"/>
        <w:spacing w:after="0" w:line="203" w:lineRule="auto"/>
        <w:rPr>
          <w:sz w:val="20"/>
          <w:szCs w:val="20"/>
          <w:color w:val="auto"/>
        </w:rPr>
      </w:pPr>
      <w:r>
        <w:rPr>
          <w:rFonts w:ascii="Times New Roman" w:cs="Times New Roman" w:eastAsia="Times New Roman" w:hAnsi="Times New Roman"/>
          <w:sz w:val="18"/>
          <w:szCs w:val="18"/>
          <w:color w:val="auto"/>
        </w:rPr>
        <w:t>Kennesaw, GA 30144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65"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18"/>
          <w:szCs w:val="18"/>
          <w:color w:val="auto"/>
        </w:rPr>
        <w:t>To Participant:</w:t>
        <w:tab/>
        <w:t>The address set forth in the Notice of Grant.</w:t>
      </w:r>
    </w:p>
    <w:p>
      <w:pPr>
        <w:spacing w:after="0" w:line="198" w:lineRule="exact"/>
        <w:rPr>
          <w:sz w:val="20"/>
          <w:szCs w:val="20"/>
          <w:color w:val="auto"/>
        </w:rPr>
      </w:pPr>
    </w:p>
    <w:p>
      <w:pPr>
        <w:jc w:val="both"/>
        <w:ind w:firstLine="656"/>
        <w:spacing w:after="0" w:line="212" w:lineRule="auto"/>
        <w:tabs>
          <w:tab w:leader="none" w:pos="12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Failure by Participant or the Company at any time or times to require performance by the other of any provisions in the Award Agreement will not affect the right to enforce those provisions. Any waiver by Participant or the Company of any condition or of any breach of any term or provision in this Award Agreement, whether by conduct or otherwise, in any one or more instances, shall apply only to that instance and will not be deemed to waive conditions or breaches in the future. If any court of competent jurisdiction holds that any term or provision of this Award Agreement is invalid or unenforceable, the remaining terms and provisions will continue in full force and effect, and this Award Agreement shall be deemed to be amended automatically to exclude the offending provision. This Award Agreement may be executed in multiple copies and each executed copy shall be an original of this Award Agreement. This Award Agreement shall be subject to and governed by the laws of the State of Georgia. No change or modification of this Award Agreement shall be valid unless it is in writing and signed by the party against which enforcement is sought, except where specifically provided to the contrary herein. This Award Agreement shall be binding upon, and inure to the benefit of, the permitted successors, assigns, heirs, executors and legal representatives of the parties hereto. The headings of each section of this Award Agreement are for convenience only. This Award Agreement, together with the Plan, contains the entire agreement of the parties hereto, and no representation, inducement, promise, or agreement or other similar understanding between the parties not embodied herein shall be of any force or effect, and no party will be liable or bound in any manner for any warranty, representation, or covenant except as specifically set forth herein or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0" w:lineRule="exact"/>
        <w:rPr>
          <w:sz w:val="20"/>
          <w:szCs w:val="20"/>
          <w:color w:val="auto"/>
        </w:rPr>
      </w:pPr>
    </w:p>
    <w:p>
      <w:pPr>
        <w:jc w:val="both"/>
        <w:ind w:firstLine="656"/>
        <w:spacing w:after="0" w:line="217" w:lineRule="auto"/>
        <w:tabs>
          <w:tab w:leader="none" w:pos="129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Agreement and the Award granted hereunder are intended to comply with, or otherwise be exempt from, Section 409A of the Code. This Award Agreement and the Award shall be administered, interpreted and construed in a manner consistent with such Code section. Should any provision of this Award Agreement or the Award be found not to comply with, or otherwise be exempt from, the provisions of Section 409A of the Code, it shall be modified and given effect, in the sole discretion of the Committee and without requiring Participant’s consent (notwithstanding any other provisions hereof), in such manner as the Committee determines to be necessary or appropriate to comply with, or effectuate an exemption from, Section 409A of the Code. Each amount payable under this Award Agreement as a payment upon vesting is designated as a separate identified payment for purposes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40"/>
          </w:cols>
          <w:pgMar w:left="320" w:top="1440"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10.3(i)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rPr>
          <w:sz w:val="20"/>
          <w:szCs w:val="20"/>
          <w:color w:val="auto"/>
        </w:rPr>
      </w:pPr>
      <w:r>
        <w:rPr>
          <w:rFonts w:ascii="Times New Roman" w:cs="Times New Roman" w:eastAsia="Times New Roman" w:hAnsi="Times New Roman"/>
          <w:sz w:val="18"/>
          <w:szCs w:val="18"/>
          <w:b w:val="1"/>
          <w:bCs w:val="1"/>
          <w:color w:val="auto"/>
        </w:rPr>
        <w:t>Total No. of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ARTIVION, INC.</w:t>
      </w:r>
    </w:p>
    <w:p>
      <w:pPr>
        <w:jc w:val="center"/>
        <w:spacing w:after="0" w:line="204" w:lineRule="auto"/>
        <w:rPr>
          <w:sz w:val="20"/>
          <w:szCs w:val="20"/>
          <w:color w:val="auto"/>
        </w:rPr>
      </w:pPr>
      <w:r>
        <w:rPr>
          <w:rFonts w:ascii="Times New Roman" w:cs="Times New Roman" w:eastAsia="Times New Roman" w:hAnsi="Times New Roman"/>
          <w:sz w:val="22"/>
          <w:szCs w:val="22"/>
          <w:b w:val="1"/>
          <w:bCs w:val="1"/>
          <w:color w:val="auto"/>
        </w:rPr>
        <w:t>EQUITY AND CASH INCENTIVE PLAN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SHARE AWARD AGREEMENT</w:t>
      </w:r>
    </w:p>
    <w:p>
      <w:pPr>
        <w:spacing w:after="0" w:line="3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Artivion, Inc. 2020 Equity and Cash Incentive Plan (the “Plan”) will have the same defined meanings in this Performance Share Award Agreement, including the Notice of Stock Unit Grant (the “Notice of Grant”) and the Terms and Conditions of Performance Share Award,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the (“Award Agreement”).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 STOCK UNIT GRANT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undersigned Participant has been granted a Performance Share Unit, subject to the terms and conditions of the Plan and this Award Agreement,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Target Units of Stock Unit Award: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Performance Stock Units</w:t>
      </w:r>
      <w:r>
        <w:rPr>
          <w:sz w:val="20"/>
          <w:szCs w:val="20"/>
          <w:color w:val="auto"/>
        </w:rPr>
        <w:tab/>
      </w:r>
      <w:r>
        <w:rPr>
          <w:rFonts w:ascii="Times New Roman" w:cs="Times New Roman" w:eastAsia="Times New Roman" w:hAnsi="Times New Roman"/>
          <w:sz w:val="17"/>
          <w:szCs w:val="17"/>
          <w:b w:val="1"/>
          <w:bCs w:val="1"/>
          <w:color w:val="auto"/>
        </w:rPr>
        <w:t>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Award will vest, and common stock (“Shares”) of Artivion, Inc. (the “Company”) will be issued, based on attaining specified levels of </w:t>
      </w:r>
      <w:r>
        <w:rPr>
          <w:rFonts w:ascii="Times New Roman" w:cs="Times New Roman" w:eastAsia="Times New Roman" w:hAnsi="Times New Roman"/>
          <w:sz w:val="18"/>
          <w:szCs w:val="18"/>
          <w:b w:val="1"/>
          <w:bCs w:val="1"/>
          <w:color w:val="auto"/>
        </w:rPr>
        <w:t>[metrics to be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determined] </w:t>
      </w:r>
      <w:r>
        <w:rPr>
          <w:rFonts w:ascii="Times New Roman" w:cs="Times New Roman" w:eastAsia="Times New Roman" w:hAnsi="Times New Roman"/>
          <w:sz w:val="18"/>
          <w:szCs w:val="18"/>
          <w:color w:val="auto"/>
        </w:rPr>
        <w:t>and (ii) the satisfaction of time-based service vesting requirements (except as provided in Section 1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more specifically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below. The weighting of the performance goals (i.e., the percentage of the Target Number of Performance Shares eligible to vest based on the achievement of each goal) shall be as follows: </w:t>
      </w:r>
      <w:r>
        <w:rPr>
          <w:rFonts w:ascii="Times New Roman" w:cs="Times New Roman" w:eastAsia="Times New Roman" w:hAnsi="Times New Roman"/>
          <w:sz w:val="18"/>
          <w:szCs w:val="18"/>
          <w:b w:val="1"/>
          <w:bCs w:val="1"/>
          <w:color w:val="auto"/>
        </w:rPr>
        <w:t>[metric weighting to be determined]</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used herein, </w:t>
      </w:r>
      <w:r>
        <w:rPr>
          <w:rFonts w:ascii="Times New Roman" w:cs="Times New Roman" w:eastAsia="Times New Roman" w:hAnsi="Times New Roman"/>
          <w:sz w:val="18"/>
          <w:szCs w:val="18"/>
          <w:b w:val="1"/>
          <w:bCs w:val="1"/>
          <w:color w:val="auto"/>
        </w:rPr>
        <w:t>[metrics to be defined]</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p>
    <w:p>
      <w:pPr>
        <w:spacing w:after="0" w:line="185"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[Performance vesting of shares based on performance against metrics to be determined and defined, with payouts ranging from a threshold of 60% of target shares to a maximum of 150% of target shares.]</w:t>
      </w:r>
    </w:p>
    <w:p>
      <w:pPr>
        <w:spacing w:after="0" w:line="145"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For all of the fixed Shares above, 50% of the fixed Shares will vest on the first anniversary of the Grant Date, 25% of the fixed Shares will vest on the second anniversary of the Grant Date, and the final 25% of the fixed Shares will vest on the third anniversary of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347" w:right="339" w:bottom="1440" w:gutter="0" w:footer="0" w:header="0"/>
        </w:sectPr>
      </w:pPr>
    </w:p>
    <w:bookmarkStart w:id="127" w:name="page128"/>
    <w:bookmarkEnd w:id="127"/>
    <w:p>
      <w:pPr>
        <w:spacing w:after="0" w:line="18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By Participant’s electronic acceptance and the electronic signature of the Artivion, Inc (the “Company”) representative below, Participant and the Company agree that this Award is granted under and governed by the terms and conditions of the Plan and this Award Agreement, including exhibits hereto, all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are made a part of this document. Should the Plan and this Award Agreement conflict, the Plan governs. Participant has reviewed the Plan and this Award Agreement in their entirety, has had an opportunity to obtain the advice of counsel prior to executing this Award Agreement and fully understands all provisions of the Plan and Award Agreement. Participant hereby agrees to accept as binding, conclusive and final all decisions or interpretations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upon any questions relating to the Plan and Award Agreement. Participant further agrees to notify the Company upon any change in the residence address indicated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After reviewing the documents noted above, please accept this Performance Share Award online where indicated on ETrade.com and retain a copy</w:t>
      </w:r>
    </w:p>
    <w:p>
      <w:pPr>
        <w:spacing w:after="0" w:line="18"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color w:val="auto"/>
        </w:rPr>
        <w:t>for your files. Please note that your electronic acceptance of this Performance Share Award is required. The Performance Share Award will be cancelled if not accepted within 30 days of the Grant Date noted above.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BY: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P. Mackin//</w:t>
      </w:r>
    </w:p>
    <w:p>
      <w:pPr>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by: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58"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TERMS AND CONDITIONS OF PERFORMANCE SHARE AWARD</w:t>
      </w:r>
    </w:p>
    <w:p>
      <w:pPr>
        <w:spacing w:after="0" w:line="189" w:lineRule="exact"/>
        <w:rPr>
          <w:sz w:val="20"/>
          <w:szCs w:val="20"/>
          <w:color w:val="auto"/>
        </w:rPr>
      </w:pPr>
    </w:p>
    <w:p>
      <w:pPr>
        <w:jc w:val="both"/>
        <w:ind w:firstLine="656"/>
        <w:spacing w:after="0" w:line="212" w:lineRule="auto"/>
        <w:tabs>
          <w:tab w:leader="none" w:pos="12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Participant must be an employee of the Company, CryoLife International, Inc., or another eligible employer approved by the Company’s Compensation Committee (the “Committee”) of its Board of Directors (each, an “Eligible Employer”) on the applicable vesting date to be entitled to the vesting of the Award on such date. If Participant ceases to be an employee of an Eligible Employer for any reason (excluding retirement but including, without limitation, by reason of death or disability), then the portion of the Award that has not vested as of the date of termination of service shall automatically be forfeited and cancelled as of the date of such termination of service, unless the Committee waives this employment requirement or accelerates the vesting as permitted by the Plan. Effective for grants made on or after January 1, 2022, upon a Participant’s Retirement, as determined by the Committee, this Award will continue to vest and settle in accordance with the provisions of the Notice of Grant subject to an agreement between the Participant and the Company for continuation of the Participant’s non-compete agreement for the remaining vesting period of the Award (the “Non-Compete Agreement”). In consideration of continued retirement vesting, the Participant (or other holder of such Award) must, if requested by the Company, execute a release, in the form provided by the Company, releasing the Board, the Company, its Subsidiaries, and their respective equityholders, officers, directors, managers, employees, representatives, and agents from any and all claims and causes of action of any kind or character the Participant (or holder) may have, but excluding all vested benefits the Participant may have under any employee benefit plan that is subject to ERISA. Such release must be executed no later than 21 or 45 days (whichever is provided in the form of release) following the date the release is provided to the Participant (or other holder) and must have become irrevocable to entitle the Participant (or other holder) to any payment. Whether or not a release is timely executed or becomes irrevocable, this Award will automatically be forfeited, terminate and be null and void in the event the Participant violates the Non-Compete Agreement, as determined by the Committee in its discretion. For purposes of this Award Agreement and unless otherwise determined by the Committee, “Retirement” means a termination of employment on or after the date the Participant (a) has attained age 60, (b) performed ten years of service for the Company, and (c) has provided at least six months’ notice of retirement.</w:t>
      </w:r>
    </w:p>
    <w:p>
      <w:pPr>
        <w:spacing w:after="0" w:line="164" w:lineRule="exact"/>
        <w:rPr>
          <w:rFonts w:ascii="Times New Roman" w:cs="Times New Roman" w:eastAsia="Times New Roman" w:hAnsi="Times New Roman"/>
          <w:sz w:val="18"/>
          <w:szCs w:val="18"/>
          <w:color w:val="auto"/>
        </w:rPr>
      </w:pPr>
    </w:p>
    <w:p>
      <w:pPr>
        <w:jc w:val="both"/>
        <w:ind w:firstLine="656"/>
        <w:spacing w:after="0" w:line="213" w:lineRule="auto"/>
        <w:tabs>
          <w:tab w:leader="none" w:pos="129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Obligation to Pay</w:t>
      </w:r>
      <w:r>
        <w:rPr>
          <w:rFonts w:ascii="Times New Roman" w:cs="Times New Roman" w:eastAsia="Times New Roman" w:hAnsi="Times New Roman"/>
          <w:sz w:val="18"/>
          <w:szCs w:val="18"/>
          <w:color w:val="auto"/>
        </w:rPr>
        <w:t xml:space="preserve">. Each Performance Share represents the right to receive one (1) share of Company common stock at the target level, and subject to adjustment up or down based upon the Company’s </w:t>
      </w:r>
      <w:r>
        <w:rPr>
          <w:rFonts w:ascii="Times New Roman" w:cs="Times New Roman" w:eastAsia="Times New Roman" w:hAnsi="Times New Roman"/>
          <w:sz w:val="18"/>
          <w:szCs w:val="18"/>
          <w:b w:val="1"/>
          <w:bCs w:val="1"/>
          <w:color w:val="auto"/>
        </w:rPr>
        <w:t>[metric to be determined]</w:t>
      </w:r>
      <w:r>
        <w:rPr>
          <w:rFonts w:ascii="Times New Roman" w:cs="Times New Roman" w:eastAsia="Times New Roman" w:hAnsi="Times New Roman"/>
          <w:sz w:val="18"/>
          <w:szCs w:val="18"/>
          <w:color w:val="auto"/>
        </w:rPr>
        <w:t xml:space="preserve"> performance for ____ as further described in the Notice of Grant, on the date the Performance Share vests in accordance with the vesting schedules described in the Notice of Grant (or at such later time as indicated in this Award Agreement or the Plan). Unless and until the Award vests, Participant will have no right to payment of Shares with respect to any such Performance Shares. Prior to actual payment of any Shares with respect to any Performance Shares, such Performance Shares will represent an unfunded, unsecured obligation of the Company, payable (if at all) only from the general assets of the Company. The number of Shares subject to the Award, i.e., the relevant percentage of target shares that will be issued if time vesting requirements are satisfied, will be determined on and as of the date of filing of the Company’s Form 10-K for fiscal ____ with the Securities and Exchange Commission. Shares will be rounded down to the nearest whole number. No fractional Shares will be issued. </w:t>
      </w:r>
      <w:r>
        <w:rPr>
          <w:rFonts w:ascii="Times New Roman" w:cs="Times New Roman" w:eastAsia="Times New Roman" w:hAnsi="Times New Roman"/>
          <w:sz w:val="18"/>
          <w:szCs w:val="18"/>
          <w:b w:val="1"/>
          <w:bCs w:val="1"/>
          <w:color w:val="auto"/>
        </w:rPr>
        <w:t>Notwithstanding anything to the contrary contained herein, at any time prior to the first anniversary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Grant Date, the Committee, in its sole discretion, may reduce the number of Shares to be issued hereunder, but in no event may the number of Shares to be issued be reduced below the target number of Shares. Participant will receive written notice of any such reduction.</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ind w:left="1940" w:hanging="648"/>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 Except as otherwise provided in this Agreement or the Plan, any Performance Shares that vest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accordance with this Award Agreement shall be paid to Participant (or in the event of Participant’s death, to Participant’s estate), in whole Shares within thirty (30) days after the date on which such Performance Shares vest or as soon as administratively practicable thereafter, but in no event later than the date that is two and one-half months following the later of (i) the end of the Company’s taxable year; or (ii) the end of Participant’s taxable year that includes the vesting date. Notwithstanding anything in the Plan or this Award Agreement to the contrary, payment to Participant of Shares upon the vesting of a Performance Share shall be delayed to the extent required by Section 409A of the Internal Revenue of 1986, as amended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0" w:lineRule="exact"/>
        <w:rPr>
          <w:sz w:val="20"/>
          <w:szCs w:val="20"/>
          <w:color w:val="auto"/>
        </w:rPr>
      </w:pPr>
    </w:p>
    <w:p>
      <w:pPr>
        <w:jc w:val="both"/>
        <w:ind w:left="1960" w:hanging="656"/>
        <w:spacing w:after="0" w:line="214" w:lineRule="auto"/>
        <w:tabs>
          <w:tab w:leader="none" w:pos="196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Upon a Change of Control</w:t>
      </w:r>
      <w:r>
        <w:rPr>
          <w:rFonts w:ascii="Times New Roman" w:cs="Times New Roman" w:eastAsia="Times New Roman" w:hAnsi="Times New Roman"/>
          <w:sz w:val="18"/>
          <w:szCs w:val="18"/>
          <w:color w:val="auto"/>
        </w:rPr>
        <w:t xml:space="preserve">. If the vesting of the balance, or some lesser portion of the balance, of the Performance Shares subject to this Award Agreement is accelerated upon a Change of Control, as such term is defined in the Plan, of the Company, and such Change of Control is not a “change in the ownership or effective control” or “change in the ownership of a substantial portion of the assets” of the Company within the meaning of Section 1.409A-3(i)(5) of the United States Treasury Regulations, then such accelerated Performance Shares shall not be paid until the applicable vesting date of such Performance Shares, as set forth on the Notice of Grant, or if earlier, the date of Participant’s death, disability or “separation from service” within the meaning of Section 409A of the Code from the Company (a “Separation from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payment pursuant to this Section 3(b) is to be made upon Participant’s Separation from Service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Participant’s Separation from Service Participant is a “specified employee” within the meaning of Section 409A of the Code then payment of the Shares with respect to the Performance Shares subject to this Section 3(b) shall not be made until the date that is six (6) months and one day following the date of Participant’s Separation from Service if earlier payment would result in the imposition of the additional tax under Section 409A of the Code.</w:t>
      </w:r>
    </w:p>
    <w:p>
      <w:pPr>
        <w:spacing w:after="0" w:line="161"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Subject to the satisfaction of any tax withholding obligations described in Section 6 below, Participant may elect to defer the receipt of the Award until Participant separates from the Company, including upon retirement, death, disability, or a Change of Control, as such term is defined in the Plan. Participant may elect to defer the receipt of the Award by submitting to the Company a deferral election in the form provided by the Company. In the event Participant intends to defer the receipt of the Award, Participant must submit to the Company a completed deferral election form no later than thirty (30) days from the Grant Date (the completed form submission date being the “Final Election Date”). A deferred Award will vest no earlier than twelve (12) months from the Final Election Date. By submitting such deferral election, Participant represents that he/she understands the effect of any such deferral under relevant federal, state, and local tax and social security laws, including, but not limited to, the fact that FICA taxes may be due upon vesting notwithstanding the deferral election. Any deferral election is irrevocable on the Final Election Date</w:t>
      </w:r>
    </w:p>
    <w:p>
      <w:pPr>
        <w:spacing w:after="0" w:line="177"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Performance Shares Prior to Vesting</w:t>
      </w:r>
      <w:r>
        <w:rPr>
          <w:rFonts w:ascii="Times New Roman" w:cs="Times New Roman" w:eastAsia="Times New Roman" w:hAnsi="Times New Roman"/>
          <w:sz w:val="18"/>
          <w:szCs w:val="18"/>
          <w:color w:val="auto"/>
        </w:rPr>
        <w:t>. Participant may not transfer or otherwise assign the Award or the Shares subject to the Award prior to vesting. As this Award vests, Participant may receive certificates representing the vested portion or the Shares to be issued or the Shares may be issued in uncertificated form. Prior to issuance of Shares, Participant is not entitled to any rights as a shareholder with respect to the Shares underlying this Award. As a result, subject to the provisions of the Plan, Participant will have no rights to vote such Shares or to receive dividends or other distributions, if any, payable with respect to such Shares after the Grant Date but prior to the issuance of the Shares subsequent to vesting.</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of Taxes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left="660" w:firstLine="644"/>
        <w:spacing w:after="0" w:line="215" w:lineRule="auto"/>
        <w:tabs>
          <w:tab w:leader="none" w:pos="1953"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Participant and the Committee hereby agree that, upon any vesting of the Award, payment of all federal, state, local or foreign income, employment and other taxes which the Committee determines must be withheld (“Tax Related Items”) will be satisfied by selling on the open market otherwise deliverable Shares having a Fair Market Value, as defined in the Plan, equal to the amount needed to cover the Tax Related Items (“Sell-to-Cover”) with such sale being facilitated by a broker or other third-party intermediary acceptable to the Company (the “Broker”) pursuant to the agreements set forth in Section 6(b). The Sell-to-Cover will be executed on the first trading day following the applicable vesting or as soon as practicable thereafter. Participant will be deemed to have been issued the full number of Shares subject to the vested Award, notwithstanding that a number of the Shares are sold solely for the purpose of paying the Tax Related Items due as a result of any aspect of the Award.</w:t>
      </w:r>
    </w:p>
    <w:p>
      <w:pPr>
        <w:spacing w:after="0" w:line="163"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0"/>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the Sell-to-Cover, Participant further acknowledges and agrees as follows:</w:t>
      </w:r>
    </w:p>
    <w:p>
      <w:pPr>
        <w:spacing w:after="0" w:line="184"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9"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instruction to the Broker to sell in connection with the Sell-to-Cover provision is intended to comply with the requirements of Rule 10b5-1(c)(1)(i)(B) under the Securities and Exchange Act of 1934, as amended (the “Exchange Act”), and is to be interpreted to comply with the requirements of Rule 10b5-1(c)(1) under the Exchange Act.</w:t>
      </w:r>
    </w:p>
    <w:p>
      <w:pPr>
        <w:spacing w:after="0" w:line="158" w:lineRule="exact"/>
        <w:rPr>
          <w:rFonts w:ascii="Times New Roman" w:cs="Times New Roman" w:eastAsia="Times New Roman" w:hAnsi="Times New Roman"/>
          <w:sz w:val="18"/>
          <w:szCs w:val="18"/>
          <w:color w:val="010000"/>
        </w:rPr>
      </w:pPr>
    </w:p>
    <w:p>
      <w:pPr>
        <w:ind w:left="1300" w:right="20" w:firstLine="652"/>
        <w:spacing w:after="0" w:line="250" w:lineRule="auto"/>
        <w:tabs>
          <w:tab w:leader="none" w:pos="2593"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Sell-to-Cover will only be executed if the vesting occurs outside of the applicable cooling off period under Rule 10b5-1(c)(1), and the Participant will be required to pay any Tax Related Items in cash if the Awards vests during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0" w:lineRule="exact"/>
        <w:rPr>
          <w:sz w:val="20"/>
          <w:szCs w:val="20"/>
          <w:color w:val="auto"/>
        </w:rPr>
      </w:pPr>
    </w:p>
    <w:p>
      <w:pPr>
        <w:ind w:left="1300" w:firstLine="652"/>
        <w:spacing w:after="0" w:line="237" w:lineRule="auto"/>
        <w:tabs>
          <w:tab w:leader="none" w:pos="2593"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Award, Participant is not aware of any material, nonpublic information with respect to the Company or any securities of the Company as of the date of this Agreement.</w:t>
      </w:r>
    </w:p>
    <w:p>
      <w:pPr>
        <w:spacing w:after="0" w:line="171" w:lineRule="exact"/>
        <w:rPr>
          <w:rFonts w:ascii="Times New Roman" w:cs="Times New Roman" w:eastAsia="Times New Roman" w:hAnsi="Times New Roman"/>
          <w:sz w:val="18"/>
          <w:szCs w:val="18"/>
          <w:color w:val="010000"/>
        </w:rPr>
      </w:pPr>
    </w:p>
    <w:p>
      <w:pPr>
        <w:ind w:left="1300" w:right="20" w:firstLine="652"/>
        <w:spacing w:after="0" w:line="237" w:lineRule="auto"/>
        <w:tabs>
          <w:tab w:leader="none" w:pos="2589"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is entering into this Sell-to-Cover arrangement in good faith and not as part of a plan or scheme to evade the prohibitions of Section 10(b) of the Exchange Act or Rule 10b5-1 thereunder.</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3"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Sell-to-Cover contemplated by this Agreement is adopted to (A) be effective as of the Grant Date and (B) provide for Participant to sell a number of Shares issued upon the vesting or settlement of the Award sufficient to pay the Tax Related Items that become due as a result of the vesting or settlement of the Award.</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6"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Broker is under no obligation to arrange for any sale in connection with the Sell-to-Cover provision at any particular price, and the Broker may affect Sell-to-Cover transactions in one or more sales and the average price for executions resulting from bunched orders may be assigned to Participant’s account.</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9"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hereby authorizes the Broker to remit directly to the Company the proceeds necessary to cover Tax Related Items relating to the vesting and settlement of the Award as provided in Section 6(a) above, and to retain the amount required to cover all applicable fees and commissions due to, or required to be collected by, the Broker relating to the Sell-to-Cover.</w:t>
      </w:r>
    </w:p>
    <w:p>
      <w:pPr>
        <w:spacing w:after="0" w:line="158" w:lineRule="exact"/>
        <w:rPr>
          <w:rFonts w:ascii="Times New Roman" w:cs="Times New Roman" w:eastAsia="Times New Roman" w:hAnsi="Times New Roman"/>
          <w:sz w:val="18"/>
          <w:szCs w:val="18"/>
          <w:color w:val="010000"/>
        </w:rPr>
      </w:pPr>
    </w:p>
    <w:p>
      <w:pPr>
        <w:ind w:left="1300" w:firstLine="652"/>
        <w:spacing w:after="0" w:line="250" w:lineRule="auto"/>
        <w:tabs>
          <w:tab w:leader="none" w:pos="2589"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hereby appoints the Company as his or her agent and attorney-in-fact to instruct the Broker with respect to the number of Shares to be sold under the Sell-to-Cover contemplated by this Agreement.</w:t>
      </w:r>
    </w:p>
    <w:p>
      <w:pPr>
        <w:spacing w:after="0" w:line="149"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87"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hereby waives any claims he or she may have against the Company and its directors, officers or employees now or in the future related to Company’s instructions to the Broker or any actions taken by the Broker in affecting sales or otherwise and shall indemnify and hold the Company and its directors, officers, employees, and agents harmless from any losses, costs, damages, or expenses relating to any sale under the Sell-to-Cover contemplated by this Agreement.</w:t>
      </w:r>
    </w:p>
    <w:p>
      <w:pPr>
        <w:spacing w:after="0" w:line="158" w:lineRule="exact"/>
        <w:rPr>
          <w:rFonts w:ascii="Times New Roman" w:cs="Times New Roman" w:eastAsia="Times New Roman" w:hAnsi="Times New Roman"/>
          <w:sz w:val="18"/>
          <w:szCs w:val="18"/>
          <w:color w:val="010000"/>
        </w:rPr>
      </w:pPr>
    </w:p>
    <w:p>
      <w:pPr>
        <w:jc w:val="both"/>
        <w:ind w:firstLine="656"/>
        <w:spacing w:after="0" w:line="224" w:lineRule="auto"/>
        <w:tabs>
          <w:tab w:leader="none" w:pos="12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delivered pursuant to this Award Agreement shall be in writing and shall be (i) delivered by hand, (ii) mailed by United States certified mail, return receipt requested, postage prepaid, (iii) sent by an internationally recognized courier which maintains evidence of delivery and receipt, or (iv) sent by email to corpsecretary@Artivion.com. All notices or other communications shall be directed to the following addresses (or to such other addresses as such parties may designate by notice to the other parties):</w:t>
      </w:r>
    </w:p>
    <w:p>
      <w:pPr>
        <w:spacing w:after="0" w:line="161"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18"/>
          <w:szCs w:val="18"/>
          <w:color w:val="auto"/>
        </w:rPr>
        <w:t>To the Company:</w:t>
        <w:tab/>
        <w:t>Artivion, Inc.</w:t>
      </w:r>
    </w:p>
    <w:p>
      <w:pPr>
        <w:ind w:left="3240"/>
        <w:spacing w:after="0" w:line="203" w:lineRule="auto"/>
        <w:rPr>
          <w:sz w:val="20"/>
          <w:szCs w:val="20"/>
          <w:color w:val="auto"/>
        </w:rPr>
      </w:pPr>
      <w:r>
        <w:rPr>
          <w:rFonts w:ascii="Times New Roman" w:cs="Times New Roman" w:eastAsia="Times New Roman" w:hAnsi="Times New Roman"/>
          <w:sz w:val="18"/>
          <w:szCs w:val="18"/>
          <w:color w:val="auto"/>
        </w:rPr>
        <w:t>1655 Roberts Blvd., NW</w:t>
      </w:r>
    </w:p>
    <w:p>
      <w:pPr>
        <w:ind w:left="3240"/>
        <w:spacing w:after="0" w:line="219" w:lineRule="auto"/>
        <w:rPr>
          <w:sz w:val="20"/>
          <w:szCs w:val="20"/>
          <w:color w:val="auto"/>
        </w:rPr>
      </w:pPr>
      <w:r>
        <w:rPr>
          <w:rFonts w:ascii="Times New Roman" w:cs="Times New Roman" w:eastAsia="Times New Roman" w:hAnsi="Times New Roman"/>
          <w:sz w:val="18"/>
          <w:szCs w:val="18"/>
          <w:color w:val="auto"/>
        </w:rPr>
        <w:t>Kennesaw, GA 30144</w:t>
      </w:r>
    </w:p>
    <w:p>
      <w:pPr>
        <w:spacing w:after="0" w:line="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Corporate Secretary</w:t>
      </w:r>
    </w:p>
    <w:p>
      <w:pPr>
        <w:sectPr>
          <w:pgSz w:w="11900" w:h="16838" w:orient="portrait"/>
          <w:cols w:equalWidth="0" w:num="1">
            <w:col w:w="11240"/>
          </w:cols>
          <w:pgMar w:left="320" w:top="1440" w:right="339" w:bottom="1440" w:gutter="0" w:footer="0" w:header="0"/>
        </w:sectPr>
      </w:pPr>
    </w:p>
    <w:p>
      <w:pPr>
        <w:spacing w:after="0" w:line="16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To Participant: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set forth in the Notice of Grant.</w:t>
      </w:r>
    </w:p>
    <w:p>
      <w:pPr>
        <w:spacing w:after="0" w:line="200" w:lineRule="exact"/>
        <w:rPr>
          <w:sz w:val="20"/>
          <w:szCs w:val="20"/>
          <w:color w:val="auto"/>
        </w:rPr>
      </w:pPr>
    </w:p>
    <w:p>
      <w:pPr>
        <w:sectPr>
          <w:pgSz w:w="11900" w:h="16838" w:orient="portrait"/>
          <w:cols w:equalWidth="0" w:num="2">
            <w:col w:w="2360" w:space="360"/>
            <w:col w:w="85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type w:val="continuous"/>
        </w:sectPr>
      </w:pPr>
    </w:p>
    <w:bookmarkStart w:id="131" w:name="page132"/>
    <w:bookmarkEnd w:id="131"/>
    <w:p>
      <w:pPr>
        <w:spacing w:after="0" w:line="180" w:lineRule="exact"/>
        <w:rPr>
          <w:sz w:val="20"/>
          <w:szCs w:val="20"/>
          <w:color w:val="auto"/>
        </w:rPr>
      </w:pPr>
    </w:p>
    <w:p>
      <w:pPr>
        <w:jc w:val="both"/>
        <w:ind w:firstLine="656"/>
        <w:spacing w:after="0" w:line="213"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Failure by Participant or the Company at any time or times to require performance by the other of any provisions in this Award Agreement will not affect the right to enforce those provisions. Any waiver by Participant or the Company of any condition or of any breach of any term or provision in this Award Agreement, whether by conduct or otherwise, in any one or more instances, shall apply only to that instance and will not be deemed to waive conditions or breaches in the future. If any court of competent jurisdiction holds that any term or provision of this Award Agreement is invalid or unenforceable, the remaining terms and provisions will continue in full force and effect, and this Award Agreement shall be deemed to be amended automatically to exclude the offending provision. This Award Agreement may be executed in multiple copies and each executed copy shall be an original of this Award Agreement. This Award Agreement shall be subject to and governed by the laws of the State of Georgia. No change or modification of this Award Agreement shall be valid unless it is in writing and signed by the party against which enforcement is sought, except where specifically provided to the contrary herein. This Award Agreement shall be binding upon, and inure to the benefit of, the permitted successors, assigns, heirs, executors and legal representatives of the parties hereto. The headings of each section of this Award Agreement are for convenience only. This Award Agreement, together with the Plan, contains the entire agreement of the parties hereto, and no representation, inducement, promise, or agreement or other similar understanding between the parties not embodied herein shall be of any force or effect, and no party will be liable or bound in any manner for any warranty, representation, or covenant except as specifically set forth herein or in the Plan.</w:t>
      </w:r>
    </w:p>
    <w:p>
      <w:pPr>
        <w:spacing w:after="0" w:line="163"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Agreement and the Award granted hereunder are intended to comply with, or otherwise be exempt from, Section 409A of the Code. This Award Agreement and the Award shall be administered, interpreted and construed in a manner consistent with such Code section. Should any provision of this Award Agreement or the Award be found not to comply with, or otherwise be exempt from, the provisions of Section 409A of the Code, it shall be modified and given effect, in the sole discretion of the Committee and without requiring Participant’s consent (notwithstanding any other provisions hereof), in such manner as the Committee determines to be necessary or appropriate to comply with, or effectuate an exemption from, Section 409A of the Code. Each amount payable under this Award Agreement as a payment upon vesting of a Performance Share is designated as a separate identified payment for purposes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rPr>
          <w:sz w:val="20"/>
          <w:szCs w:val="20"/>
          <w:color w:val="auto"/>
        </w:rPr>
      </w:pPr>
      <w:r>
        <w:rPr>
          <w:rFonts w:ascii="Times New Roman" w:cs="Times New Roman" w:eastAsia="Times New Roman" w:hAnsi="Times New Roman"/>
          <w:sz w:val="16"/>
          <w:szCs w:val="16"/>
          <w:color w:val="auto"/>
        </w:rPr>
        <w:t>US 8293706v.5</w:t>
      </w:r>
    </w:p>
    <w:p>
      <w:pPr>
        <w:sectPr>
          <w:pgSz w:w="11900" w:h="16838" w:orient="portrait"/>
          <w:cols w:equalWidth="0" w:num="1">
            <w:col w:w="11240"/>
          </w:cols>
          <w:pgMar w:left="320" w:top="1440" w:right="339" w:bottom="1440" w:gutter="0" w:footer="0" w:header="0"/>
        </w:sectPr>
      </w:pPr>
    </w:p>
    <w:bookmarkStart w:id="132" w:name="page133"/>
    <w:bookmarkEnd w:id="132"/>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10.3(j)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rPr>
          <w:sz w:val="20"/>
          <w:szCs w:val="20"/>
          <w:color w:val="auto"/>
        </w:rPr>
      </w:pPr>
      <w:r>
        <w:rPr>
          <w:rFonts w:ascii="Times New Roman" w:cs="Times New Roman" w:eastAsia="Times New Roman" w:hAnsi="Times New Roman"/>
          <w:sz w:val="18"/>
          <w:szCs w:val="18"/>
          <w:b w:val="1"/>
          <w:bCs w:val="1"/>
          <w:color w:val="auto"/>
        </w:rPr>
        <w:t>Total No. of Units:</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ARTIVION, INC.</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EQUITY AND CASH INCENTIVE PLAN</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380"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Artivion, Inc. Equity and Cash Incentive Plan (the “Plan”) will have the same defined meanings in this Restricted Stock Unit Award Agreement, including the Notice of Restricted Stock Unit Grant (the “Notice of Grant”) and the Terms and Conditions of Restricted Stock Unit Award,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together the (“Award Agreement”).</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AWARD GRANT</w:t>
      </w:r>
    </w:p>
    <w:p>
      <w:pPr>
        <w:spacing w:after="0" w:line="189"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undersigned Participant has been granted a Restricted Stock Unit Award, subject to the terms and conditions of the Plan and this Award Agreement,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Number of Restricted Stock Units: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Vesting Schedule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6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56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Vest Date</w:t>
            </w:r>
          </w:p>
        </w:tc>
      </w:tr>
      <w:tr>
        <w:trPr>
          <w:trHeight w:val="250"/>
        </w:trPr>
        <w:tc>
          <w:tcPr>
            <w:tcW w:w="5640" w:type="dxa"/>
            <w:vAlign w:val="bottom"/>
            <w:tcBorders>
              <w:left w:val="single" w:sz="8" w:color="auto"/>
              <w:bottom w:val="single" w:sz="8" w:color="auto"/>
              <w:right w:val="single" w:sz="8" w:color="auto"/>
            </w:tcBorders>
          </w:tcPr>
          <w:p>
            <w:pPr>
              <w:spacing w:after="0"/>
              <w:rPr>
                <w:sz w:val="21"/>
                <w:szCs w:val="21"/>
                <w:color w:val="auto"/>
              </w:rPr>
            </w:pPr>
          </w:p>
        </w:tc>
        <w:tc>
          <w:tcPr>
            <w:tcW w:w="562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Participant’s electronic acceptance and the electronic signature of the Artivion, Inc. (the “Company”) representative below, Participant and the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Company agree that this Award is granted under and governed by the terms and conditions of the Plan and this Award Agreement, including exhibits hereto, all of which are made a part of this document. Should the Plan and this Award Agreement conflict, the Plan governs. Participant has reviewed the Plan and this Award Agreement in their entirety, has had an opportunity to obtain the advice of counsel prior to executing this Award Agreement and fully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understands all provisions of the Plan and Award Agreement. Participant hereby agrees to accept as binding, conclusive and final all decisions or interpretations of the Company upon any questions relating to the Plan and Award Agreement. Participant further agrees to notify the Company upon any change in the residence address indicated below.</w:t>
      </w:r>
    </w:p>
    <w:p>
      <w:pPr>
        <w:spacing w:after="0" w:line="168" w:lineRule="exact"/>
        <w:rPr>
          <w:sz w:val="20"/>
          <w:szCs w:val="20"/>
          <w:color w:val="auto"/>
        </w:rPr>
      </w:pPr>
    </w:p>
    <w:p>
      <w:pPr>
        <w:jc w:val="both"/>
        <w:ind w:right="20"/>
        <w:spacing w:after="0" w:line="227" w:lineRule="auto"/>
        <w:rPr>
          <w:sz w:val="20"/>
          <w:szCs w:val="20"/>
          <w:color w:val="auto"/>
        </w:rPr>
      </w:pPr>
      <w:r>
        <w:rPr>
          <w:rFonts w:ascii="Times New Roman" w:cs="Times New Roman" w:eastAsia="Times New Roman" w:hAnsi="Times New Roman"/>
          <w:sz w:val="18"/>
          <w:szCs w:val="18"/>
          <w:b w:val="1"/>
          <w:bCs w:val="1"/>
          <w:color w:val="auto"/>
        </w:rPr>
        <w:t>After reviewing the documents noted above, please accept this Restricted Stock Unit Award online where indicated on ETrade.com and retain a copy for your files. Please note that your electronic acceptance of this Restricted Stock Unit Award is required. The Restricted Stock Unit Award will be cancelled if not accepted within 30 days of the Grant Date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60"/>
          </w:cols>
          <w:pgMar w:left="320" w:top="347" w:right="319" w:bottom="1440" w:gutter="0" w:footer="0" w:header="0"/>
        </w:sectPr>
      </w:pPr>
    </w:p>
    <w:bookmarkStart w:id="133" w:name="page134"/>
    <w:bookmarkEnd w:id="133"/>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by: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2</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0139"/>
          </w:cols>
          <w:pgMar w:left="320" w:top="1440" w:right="1440" w:bottom="1440" w:gutter="0" w:footer="0" w:header="0"/>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5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TERMS AND CONDITIONS OF RESTRICTED STOCK UNIT AWARD</w:t>
      </w:r>
    </w:p>
    <w:p>
      <w:pPr>
        <w:spacing w:after="0" w:line="189" w:lineRule="exact"/>
        <w:rPr>
          <w:sz w:val="20"/>
          <w:szCs w:val="20"/>
          <w:color w:val="auto"/>
        </w:rPr>
      </w:pPr>
    </w:p>
    <w:p>
      <w:pPr>
        <w:jc w:val="both"/>
        <w:ind w:firstLine="656"/>
        <w:spacing w:after="0" w:line="212"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Termination of Service</w:t>
      </w:r>
      <w:r>
        <w:rPr>
          <w:rFonts w:ascii="Times New Roman" w:cs="Times New Roman" w:eastAsia="Times New Roman" w:hAnsi="Times New Roman"/>
          <w:sz w:val="18"/>
          <w:szCs w:val="18"/>
          <w:color w:val="auto"/>
        </w:rPr>
        <w:t>. Participant must be an employee of the Company or another eligible employer approved by the Company’s Compensation Committee (the “Committee”) of its Board of Directors (each, an “Eligible Employer”) on the applicable vesting date to be entitled to the vesting of the Award on such date. If Participant ceases to be an employee of an Eligible Employer for any reason (excluding retirement but including, without limitation, by reason of death or disability), then the portion of the Award that has not vested as of the date of termination of service shall automatically be forfeited and cancelled as of the date of such termination of service, unless the Committee waives this employment requirement or accelerates the vesting as permitted by the Plan. Effective for grants made on or after January 1, 2022, upon a Participant’s Retirement, as determined by the Committee, this Award will continue to vest and settle in accordance with the provisions of the Notice of Grant subject to an agreement between the Participant and the Company for continuation of the Participant’s non-compete agreement for the remaining vesting period of the Award (the “Non-Compete Agreement”). In consideration of continued retirement vesting, the Participant (or other holder of such Award) must, if requested by the Company, execute a release, in the form provided by the Company, releasing the Board, the Company, its Subsidiaries, and their respective equityholders, officers, directors, managers, employees, representatives, and agents from any and all claims and causes of action of any kind or character the Participant (or holder) may have, but excluding all vested benefits the Participant may have under any employee benefit plan that is subject to ERISA. Such release must be executed no later than 21 or 45 days (whichever is provided in the form of release) following the date the release is provided to the Participant (or other holder) and must have become irrevocable to entitle the Participant (or other holder) to any payment. Whether or not a release is timely executed or becomes irrevocable, this Award will automatically be forfeited, terminate and be null and void in the event the Participant violates the Non-Compete Agreement, as determined by the Committee in its discretion. For purposes of this Award Agreement and unless otherwise determined by the Committee, “Retirement” means a termination of employment on or after the date the Participant (a) has attained age 60, (b) performed ten years of service for the Company, and (c) has provided at least six months’ notice of retirement.</w:t>
      </w:r>
    </w:p>
    <w:p>
      <w:pPr>
        <w:spacing w:after="0" w:line="164" w:lineRule="exact"/>
        <w:rPr>
          <w:rFonts w:ascii="Times New Roman" w:cs="Times New Roman" w:eastAsia="Times New Roman" w:hAnsi="Times New Roman"/>
          <w:sz w:val="18"/>
          <w:szCs w:val="18"/>
          <w:color w:val="auto"/>
        </w:rPr>
      </w:pPr>
    </w:p>
    <w:p>
      <w:pPr>
        <w:jc w:val="both"/>
        <w:ind w:firstLine="656"/>
        <w:spacing w:after="0" w:line="224"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Company’s Obligation to Pay</w:t>
      </w:r>
      <w:r>
        <w:rPr>
          <w:rFonts w:ascii="Times New Roman" w:cs="Times New Roman" w:eastAsia="Times New Roman" w:hAnsi="Times New Roman"/>
          <w:sz w:val="18"/>
          <w:szCs w:val="18"/>
          <w:color w:val="auto"/>
        </w:rPr>
        <w:t>. To the extent vested, each Restricted Stock Unit represents the right to receive one (1) share of Company common stock, subject to the terms and conditions set forth in the Notice of Grant. Unless and until the Award vests, Participant will have no right to payment of Shares with respect to any such Restricted Stock Units. Prior to settlement of the Award, such Restricted Stock Units will represent an unfunded, unsecured obligation of the Company, payable (if at all) only from the general assets of the Company.</w:t>
      </w:r>
    </w:p>
    <w:p>
      <w:pPr>
        <w:spacing w:after="0" w:line="158" w:lineRule="exact"/>
        <w:rPr>
          <w:rFonts w:ascii="Times New Roman" w:cs="Times New Roman" w:eastAsia="Times New Roman" w:hAnsi="Times New Roman"/>
          <w:sz w:val="18"/>
          <w:szCs w:val="18"/>
          <w:color w:val="auto"/>
        </w:rPr>
      </w:pPr>
    </w:p>
    <w:p>
      <w:pPr>
        <w:jc w:val="both"/>
        <w:ind w:firstLine="656"/>
        <w:spacing w:after="0" w:line="220"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Payment</w:t>
      </w:r>
      <w:r>
        <w:rPr>
          <w:rFonts w:ascii="Times New Roman" w:cs="Times New Roman" w:eastAsia="Times New Roman" w:hAnsi="Times New Roman"/>
          <w:sz w:val="18"/>
          <w:szCs w:val="18"/>
          <w:color w:val="auto"/>
        </w:rPr>
        <w:t>. Except as otherwise provided in this Agreement or the Plan, any Restricted Stock Units that vest in accordance with this Award Agreement shall be paid to Participant (or in the event of Participant’s death, to Participant’s estate), in Shares within thirty (30) days after the date on which such Restricted Stock Units vest or as soon as administratively practicable thereafter, but in no event later than the date that is two and one-half months following the later of (i) the end of the Company’s taxable year; or (ii) the end of Participant’s taxable year that includes the vesting date. Notwithstanding anything in the Plan or this Award Agreement to the contrary, payment to Participant of Shares upon the vesting shall be delayed to the extent required by Section 409A of the Internal Revenue of 1986, as amended (the “Code”).</w:t>
      </w:r>
    </w:p>
    <w:p>
      <w:pPr>
        <w:spacing w:after="0" w:line="157" w:lineRule="exact"/>
        <w:rPr>
          <w:rFonts w:ascii="Times New Roman" w:cs="Times New Roman" w:eastAsia="Times New Roman" w:hAnsi="Times New Roman"/>
          <w:sz w:val="18"/>
          <w:szCs w:val="18"/>
          <w:color w:val="auto"/>
        </w:rPr>
      </w:pPr>
    </w:p>
    <w:p>
      <w:pPr>
        <w:jc w:val="both"/>
        <w:ind w:firstLine="656"/>
        <w:spacing w:after="0" w:line="215" w:lineRule="auto"/>
        <w:tabs>
          <w:tab w:leader="none" w:pos="129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Subject to the satisfaction of any tax withholding obligations described in Section 7 below, Participant may elect to defer the receipt of the Award until Participant separates from the Company, including upon retirement, death, disability, or a Change of Control, as such term is defined in the Plan. Participant may elect to defer the receipt of the Award by submitting to the Company a deferral election in the form provided by the Company. In the event Participant intends to defer the receipt of the Award, Participant must submit to the Company a completed deferral election form no later than thirty (30) days from the Grant Date (the completed form submission date being the “Final Election Date”). A deferred Award will vest no earlier than twelve (12) months from the Final Election Date. By submitting such deferral election, Participant represents that he/she understands the effect of any such deferral under relevant federal, state, and local tax and social security laws, including, but not limited to, the fact that FICA taxes may be due upon vesting notwithstanding the deferral election. Any deferral election is irrevocable on the Final Election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0" w:lineRule="exact"/>
        <w:rPr>
          <w:sz w:val="20"/>
          <w:szCs w:val="20"/>
          <w:color w:val="auto"/>
        </w:rPr>
      </w:pPr>
    </w:p>
    <w:p>
      <w:pPr>
        <w:jc w:val="both"/>
        <w:ind w:firstLine="656"/>
        <w:spacing w:after="0" w:line="220"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with Respect to Award Prior to Vesting</w:t>
      </w:r>
      <w:r>
        <w:rPr>
          <w:rFonts w:ascii="Times New Roman" w:cs="Times New Roman" w:eastAsia="Times New Roman" w:hAnsi="Times New Roman"/>
          <w:sz w:val="18"/>
          <w:szCs w:val="18"/>
          <w:color w:val="auto"/>
        </w:rPr>
        <w:t>. Participant may not transfer or otherwise assign the Award or the Shares subject to the Award prior to vesting. As this Award vests, Participant may receive certificates representing the vested portion or the Shares to be issued or the Shares may be issued in uncertificated form. Prior to issuance of Shares, Participant is not entitled to any rights as a shareholder with respect to the Shares underlying this Award. As a result, subject to the provisions of the Plan, Participant will have no rights to vote such Shares prior to the issuance of the Shares subsequent to vesting.</w:t>
      </w:r>
    </w:p>
    <w:p>
      <w:pPr>
        <w:spacing w:after="0" w:line="171"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In the event that the Company declares and pays a dividend in respect of its outstanding Shares on or after the Grant Date and, on the record date for such dividend, Participant holds RSUs granted pursuant to this Agreement that have not been settled, the Company shall pay to Participant an amount in cash equal to the cash dividends Participant would have received if Participant were the holder of record as of such record date, of the number of Shares related to the portion of Participant’s RSUs that have not been settled as of such record date, such payment (“Dividend Equivalents”) to be made on or promptly following the date that the Company pays such dividend (however, in no event shall the Dividend Equivalents be paid later than 30 days following the date on which the Company pays such dividend to its shareholders generally).</w:t>
      </w:r>
    </w:p>
    <w:p>
      <w:pPr>
        <w:spacing w:after="0" w:line="17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w:t>
      </w:r>
    </w:p>
    <w:p>
      <w:pPr>
        <w:spacing w:after="0" w:line="184" w:lineRule="exact"/>
        <w:rPr>
          <w:rFonts w:ascii="Times New Roman" w:cs="Times New Roman" w:eastAsia="Times New Roman" w:hAnsi="Times New Roman"/>
          <w:sz w:val="18"/>
          <w:szCs w:val="18"/>
          <w:color w:val="auto"/>
        </w:rPr>
      </w:pPr>
    </w:p>
    <w:p>
      <w:pPr>
        <w:jc w:val="both"/>
        <w:ind w:left="660" w:firstLine="644"/>
        <w:spacing w:after="0" w:line="215" w:lineRule="auto"/>
        <w:tabs>
          <w:tab w:leader="none" w:pos="1953"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Participant and the Committee hereby agree that, upon any vesting of the Award, payment of all federal, state, local or foreign income, employment and other taxes which the Committee determines must be withheld (“Tax Related Items”) will be satisfied by selling on the open market otherwise deliverable Shares having a Fair Market Value, as defined in the Plan, equal to the amount needed to cover the Tax Related Items (“Sell-to-Cover”) with such sale being facilitated by a broker or other third-party intermediary acceptable to the Company (the “Broker”) pursuant to the agreements set forth in Section 7(b). The Sell-to-Cover will be executed on the first trading day following the applicable vesting or as soon as practicable thereafter. Participant will be deemed to have been issued the full number of Shares subject to the vested Award, notwithstanding that a number of the Shares are sold solely for the purpose of paying the Tax Related Items due as a result of any aspect of the Award.</w:t>
      </w:r>
    </w:p>
    <w:p>
      <w:pPr>
        <w:spacing w:after="0" w:line="177" w:lineRule="exact"/>
        <w:rPr>
          <w:rFonts w:ascii="Times New Roman" w:cs="Times New Roman" w:eastAsia="Times New Roman" w:hAnsi="Times New Roman"/>
          <w:sz w:val="18"/>
          <w:szCs w:val="18"/>
          <w:color w:val="010000"/>
        </w:rPr>
      </w:pPr>
    </w:p>
    <w:p>
      <w:pPr>
        <w:ind w:left="1940" w:hanging="636"/>
        <w:spacing w:after="0"/>
        <w:tabs>
          <w:tab w:leader="none" w:pos="1940" w:val="left"/>
        </w:tabs>
        <w:numPr>
          <w:ilvl w:val="1"/>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 connection with the Sell-to-Cover, Participant further acknowledges and agrees as follows:</w:t>
      </w:r>
    </w:p>
    <w:p>
      <w:pPr>
        <w:spacing w:after="0" w:line="184"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9" w:val="left"/>
        </w:tabs>
        <w:numPr>
          <w:ilvl w:val="2"/>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instruction to the Broker to sell in connection with the Sell-to-Cover provision is intended to comply with the requirements of Rule 10b5-1(c)(1)(i)(B) under the Securities and Exchange Act of 1934, as amended (the “Exchange Act”), and is to be interpreted to comply with the requirements of Rule 10b5-1(c)(1) under the Exchange Act.</w:t>
      </w:r>
    </w:p>
    <w:p>
      <w:pPr>
        <w:spacing w:after="0" w:line="158" w:lineRule="exact"/>
        <w:rPr>
          <w:rFonts w:ascii="Times New Roman" w:cs="Times New Roman" w:eastAsia="Times New Roman" w:hAnsi="Times New Roman"/>
          <w:sz w:val="18"/>
          <w:szCs w:val="18"/>
          <w:color w:val="010000"/>
        </w:rPr>
      </w:pPr>
    </w:p>
    <w:p>
      <w:pPr>
        <w:ind w:left="1300" w:right="20" w:firstLine="652"/>
        <w:spacing w:after="0" w:line="237" w:lineRule="auto"/>
        <w:tabs>
          <w:tab w:leader="none" w:pos="2593" w:val="left"/>
        </w:tabs>
        <w:numPr>
          <w:ilvl w:val="2"/>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Sell-to-Cover will only be executed if the vesting occurs outside of the applicable cooling off period under Rule 10b5-1(c)(1), and the Participant will be required to pay any Tax Related Items in cash if the Awards vests during such period.</w:t>
      </w:r>
    </w:p>
    <w:p>
      <w:pPr>
        <w:spacing w:after="0" w:line="171" w:lineRule="exact"/>
        <w:rPr>
          <w:rFonts w:ascii="Times New Roman" w:cs="Times New Roman" w:eastAsia="Times New Roman" w:hAnsi="Times New Roman"/>
          <w:sz w:val="18"/>
          <w:szCs w:val="18"/>
          <w:color w:val="010000"/>
        </w:rPr>
      </w:pPr>
    </w:p>
    <w:p>
      <w:pPr>
        <w:ind w:left="1300" w:firstLine="652"/>
        <w:spacing w:after="0" w:line="237" w:lineRule="auto"/>
        <w:tabs>
          <w:tab w:leader="none" w:pos="2593" w:val="left"/>
        </w:tabs>
        <w:numPr>
          <w:ilvl w:val="2"/>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of the date of this Award, Participant is not aware of any material, nonpublic information with respect to the Company or any securities of the Company as of the date of this Agreement.</w:t>
      </w:r>
    </w:p>
    <w:p>
      <w:pPr>
        <w:spacing w:after="0" w:line="158" w:lineRule="exact"/>
        <w:rPr>
          <w:rFonts w:ascii="Times New Roman" w:cs="Times New Roman" w:eastAsia="Times New Roman" w:hAnsi="Times New Roman"/>
          <w:sz w:val="18"/>
          <w:szCs w:val="18"/>
          <w:color w:val="010000"/>
        </w:rPr>
      </w:pPr>
    </w:p>
    <w:p>
      <w:pPr>
        <w:ind w:left="1300" w:right="20" w:firstLine="652"/>
        <w:spacing w:after="0" w:line="250" w:lineRule="auto"/>
        <w:tabs>
          <w:tab w:leader="none" w:pos="2589" w:val="left"/>
        </w:tabs>
        <w:numPr>
          <w:ilvl w:val="2"/>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is entering into this Sell-to-Cover arrangement in good faith and not as part of a plan or scheme to evade the prohibitions of Section 10(b) of the Exchange Act or Rule 10b5-1 thereunder.</w:t>
      </w:r>
    </w:p>
    <w:p>
      <w:pPr>
        <w:spacing w:after="0" w:line="149" w:lineRule="exact"/>
        <w:rPr>
          <w:rFonts w:ascii="Times New Roman" w:cs="Times New Roman" w:eastAsia="Times New Roman" w:hAnsi="Times New Roman"/>
          <w:sz w:val="18"/>
          <w:szCs w:val="18"/>
          <w:color w:val="010000"/>
        </w:rPr>
      </w:pPr>
    </w:p>
    <w:p>
      <w:pPr>
        <w:jc w:val="both"/>
        <w:ind w:left="1300" w:firstLine="652"/>
        <w:spacing w:after="0" w:line="231" w:lineRule="auto"/>
        <w:tabs>
          <w:tab w:leader="none" w:pos="2583" w:val="left"/>
        </w:tabs>
        <w:numPr>
          <w:ilvl w:val="2"/>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Sell-to-Cover contemplated by this Agreement is adopted to (A) be effective as of the Grant Date and (B) provide for Participant to sell a number of Shares issued upon the vesting or settlement of the Award sufficient to pay the Tax Related Items that become due as a result of the vesting or settlement of the Award.</w:t>
      </w:r>
    </w:p>
    <w:p>
      <w:pPr>
        <w:spacing w:after="0" w:line="158" w:lineRule="exact"/>
        <w:rPr>
          <w:rFonts w:ascii="Times New Roman" w:cs="Times New Roman" w:eastAsia="Times New Roman" w:hAnsi="Times New Roman"/>
          <w:sz w:val="18"/>
          <w:szCs w:val="18"/>
          <w:color w:val="010000"/>
        </w:rPr>
      </w:pPr>
    </w:p>
    <w:p>
      <w:pPr>
        <w:jc w:val="both"/>
        <w:ind w:left="1300" w:firstLine="652"/>
        <w:spacing w:after="0" w:line="226" w:lineRule="auto"/>
        <w:tabs>
          <w:tab w:leader="none" w:pos="2586" w:val="left"/>
        </w:tabs>
        <w:numPr>
          <w:ilvl w:val="2"/>
          <w:numId w:val="6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Broker is under no obligation to arrange for any sale in connection with the Sell-to-Cover provision at any particular price, and the Broker may affect Sell-to-Cover transactions in one or more sales and the average price for executions resulting from bunched orders may be assigned to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0" w:lineRule="exact"/>
        <w:rPr>
          <w:sz w:val="20"/>
          <w:szCs w:val="20"/>
          <w:color w:val="auto"/>
        </w:rPr>
      </w:pPr>
    </w:p>
    <w:p>
      <w:pPr>
        <w:jc w:val="both"/>
        <w:ind w:left="1300" w:firstLine="652"/>
        <w:spacing w:after="0" w:line="231" w:lineRule="auto"/>
        <w:tabs>
          <w:tab w:leader="none" w:pos="2589"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hereby authorizes the Broker to remit directly to the Company the proceeds necessary to cover Tax Related Items relating to the vesting and settlement of the Award as provided in Section 7(a) above, and to retain the amount required to cover all applicable fees and commissions due to, or required to be collected by, the Broker relating to the Sell-to-Cover.</w:t>
      </w:r>
    </w:p>
    <w:p>
      <w:pPr>
        <w:spacing w:after="0" w:line="158" w:lineRule="exact"/>
        <w:rPr>
          <w:rFonts w:ascii="Times New Roman" w:cs="Times New Roman" w:eastAsia="Times New Roman" w:hAnsi="Times New Roman"/>
          <w:sz w:val="18"/>
          <w:szCs w:val="18"/>
          <w:color w:val="010000"/>
        </w:rPr>
      </w:pPr>
    </w:p>
    <w:p>
      <w:pPr>
        <w:ind w:left="1300" w:firstLine="652"/>
        <w:spacing w:after="0" w:line="237" w:lineRule="auto"/>
        <w:tabs>
          <w:tab w:leader="none" w:pos="2589"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hereby appoints the Company as his or her agent and attorney-in-fact to instruct the Broker with respect to the number of Shares to be sold under the Sell-to-Cover contemplated by this Agreement.</w:t>
      </w:r>
    </w:p>
    <w:p>
      <w:pPr>
        <w:spacing w:after="0" w:line="171" w:lineRule="exact"/>
        <w:rPr>
          <w:rFonts w:ascii="Times New Roman" w:cs="Times New Roman" w:eastAsia="Times New Roman" w:hAnsi="Times New Roman"/>
          <w:sz w:val="18"/>
          <w:szCs w:val="18"/>
          <w:color w:val="010000"/>
        </w:rPr>
      </w:pPr>
    </w:p>
    <w:p>
      <w:pPr>
        <w:jc w:val="both"/>
        <w:ind w:left="1300" w:firstLine="652"/>
        <w:spacing w:after="0" w:line="224" w:lineRule="auto"/>
        <w:tabs>
          <w:tab w:leader="none" w:pos="2587" w:val="left"/>
        </w:tabs>
        <w:numPr>
          <w:ilvl w:val="1"/>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Participant hereby waives any claims he or she may have against the Company and its directors, officers or employees now or in the future related to Company’s instructions to the Broker or any actions taken by the Broker in affecting sales or otherwise and shall indemnify and hold the Company and its directors, officers, employees, and agents harmless from any losses, costs, damages, or expenses relating to any sale under the Sell-to-Cover contemplated by this Agreement.</w:t>
      </w:r>
    </w:p>
    <w:p>
      <w:pPr>
        <w:spacing w:after="0" w:line="158" w:lineRule="exact"/>
        <w:rPr>
          <w:rFonts w:ascii="Times New Roman" w:cs="Times New Roman" w:eastAsia="Times New Roman" w:hAnsi="Times New Roman"/>
          <w:sz w:val="18"/>
          <w:szCs w:val="18"/>
          <w:color w:val="010000"/>
        </w:rPr>
      </w:pPr>
    </w:p>
    <w:p>
      <w:pPr>
        <w:jc w:val="both"/>
        <w:ind w:firstLine="656"/>
        <w:spacing w:after="0" w:line="224" w:lineRule="auto"/>
        <w:tabs>
          <w:tab w:leader="none" w:pos="12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delivered pursuant to this Award Agreement shall be in writing and shall be (i) delivered by hand, (ii) mailed by United States certified mail, return receipt requested, postage prepaid, (iii) sent by an internationally recognized courier which maintains evidence of delivery and receipt, or (iv) sent by email to corpsecretary@Artivion.com. All notices or other communications shall be directed to the following addresses (or to such other addresses as such parties may designate by notice to the other parties):</w:t>
      </w:r>
    </w:p>
    <w:p>
      <w:pPr>
        <w:spacing w:after="0" w:line="159" w:lineRule="exact"/>
        <w:rPr>
          <w:sz w:val="20"/>
          <w:szCs w:val="20"/>
          <w:color w:val="auto"/>
        </w:rPr>
      </w:pPr>
    </w:p>
    <w:p>
      <w:pPr>
        <w:ind w:left="1300"/>
        <w:spacing w:after="0"/>
        <w:tabs>
          <w:tab w:leader="none" w:pos="2700" w:val="left"/>
        </w:tabs>
        <w:rPr>
          <w:sz w:val="20"/>
          <w:szCs w:val="20"/>
          <w:color w:val="auto"/>
        </w:rPr>
      </w:pPr>
      <w:r>
        <w:rPr>
          <w:rFonts w:ascii="Times New Roman" w:cs="Times New Roman" w:eastAsia="Times New Roman" w:hAnsi="Times New Roman"/>
          <w:sz w:val="18"/>
          <w:szCs w:val="18"/>
          <w:color w:val="auto"/>
        </w:rPr>
        <w:t>To the Company:</w:t>
        <w:tab/>
        <w:t>Artivion, Inc.</w:t>
      </w:r>
    </w:p>
    <w:p>
      <w:pPr>
        <w:ind w:left="3240"/>
        <w:spacing w:after="0" w:line="205" w:lineRule="auto"/>
        <w:rPr>
          <w:sz w:val="20"/>
          <w:szCs w:val="20"/>
          <w:color w:val="auto"/>
        </w:rPr>
      </w:pPr>
      <w:r>
        <w:rPr>
          <w:rFonts w:ascii="Times New Roman" w:cs="Times New Roman" w:eastAsia="Times New Roman" w:hAnsi="Times New Roman"/>
          <w:sz w:val="18"/>
          <w:szCs w:val="18"/>
          <w:color w:val="auto"/>
        </w:rPr>
        <w:t>1655 Roberts Blvd., NW</w:t>
      </w:r>
    </w:p>
    <w:p>
      <w:pPr>
        <w:ind w:left="3240"/>
        <w:spacing w:after="0" w:line="204" w:lineRule="auto"/>
        <w:rPr>
          <w:sz w:val="20"/>
          <w:szCs w:val="20"/>
          <w:color w:val="auto"/>
        </w:rPr>
      </w:pPr>
      <w:r>
        <w:rPr>
          <w:rFonts w:ascii="Times New Roman" w:cs="Times New Roman" w:eastAsia="Times New Roman" w:hAnsi="Times New Roman"/>
          <w:sz w:val="18"/>
          <w:szCs w:val="18"/>
          <w:color w:val="auto"/>
        </w:rPr>
        <w:t>Kennesaw, GA 30144</w:t>
      </w:r>
    </w:p>
    <w:p>
      <w:pPr>
        <w:ind w:left="32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178" w:lineRule="exact"/>
        <w:rPr>
          <w:sz w:val="20"/>
          <w:szCs w:val="20"/>
          <w:color w:val="auto"/>
        </w:rPr>
      </w:pPr>
    </w:p>
    <w:p>
      <w:pPr>
        <w:ind w:left="1300"/>
        <w:spacing w:after="0"/>
        <w:tabs>
          <w:tab w:leader="none" w:pos="2520" w:val="left"/>
        </w:tabs>
        <w:rPr>
          <w:sz w:val="20"/>
          <w:szCs w:val="20"/>
          <w:color w:val="auto"/>
        </w:rPr>
      </w:pPr>
      <w:r>
        <w:rPr>
          <w:rFonts w:ascii="Times New Roman" w:cs="Times New Roman" w:eastAsia="Times New Roman" w:hAnsi="Times New Roman"/>
          <w:sz w:val="18"/>
          <w:szCs w:val="18"/>
          <w:color w:val="auto"/>
        </w:rPr>
        <w:t>To Participant:</w:t>
        <w:tab/>
        <w:t>The address set forth in the Notice of Grant.</w:t>
      </w:r>
    </w:p>
    <w:p>
      <w:pPr>
        <w:spacing w:after="0" w:line="185" w:lineRule="exact"/>
        <w:rPr>
          <w:sz w:val="20"/>
          <w:szCs w:val="20"/>
          <w:color w:val="auto"/>
        </w:rPr>
      </w:pPr>
    </w:p>
    <w:p>
      <w:pPr>
        <w:jc w:val="both"/>
        <w:ind w:firstLine="656"/>
        <w:spacing w:after="0" w:line="213" w:lineRule="auto"/>
        <w:tabs>
          <w:tab w:leader="none" w:pos="12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Failure by Participant or the Company at any time or times to require performance by the other of any provisions in the Award Agreement will not affect the right to enforce those provisions. Any waiver by Participant or the Company of any condition or of any breach of any term or provision in this Award Agreement, whether by conduct or otherwise, in any one or more instances, shall apply only to that instance and will not be deemed to waive conditions or breaches in the future. If any court of competent jurisdiction holds that any term or provision of this Award Agreement is invalid or unenforceable, the remaining terms and provisions will continue in full force and effect, and this Award Agreement shall be deemed to be amended automatically to exclude the offending provision. This Award Agreement may be executed in multiple copies and each executed copy shall be an original of this Award Agreement. This Award Agreement shall be subject to and governed by the laws of the State of Georgia. No change or modification of this Award Agreement shall be valid unless it is in writing and signed by the party against which enforcement is sought, except where specifically provided to the contrary herein. This Award Agreement shall be binding upon, and inure to the benefit of, the permitted successors, assigns, heirs, executors and legal representatives of the parties hereto. The headings of each section of this Award Agreement are for convenience only. This Award Agreement, together with the Plan, contains the entire agreement of the parties hereto, and no representation, inducement, promise, or agreement or other similar understanding between the parties not embodied herein shall be of any force or effect, and no party will be liable or bound in any manner for any warranty, representation, or covenant except as specifically set forth herein or in the Plan.</w:t>
      </w:r>
    </w:p>
    <w:p>
      <w:pPr>
        <w:spacing w:after="0" w:line="163" w:lineRule="exact"/>
        <w:rPr>
          <w:rFonts w:ascii="Times New Roman" w:cs="Times New Roman" w:eastAsia="Times New Roman" w:hAnsi="Times New Roman"/>
          <w:sz w:val="18"/>
          <w:szCs w:val="18"/>
          <w:color w:val="auto"/>
        </w:rPr>
      </w:pPr>
    </w:p>
    <w:p>
      <w:pPr>
        <w:jc w:val="both"/>
        <w:ind w:firstLine="656"/>
        <w:spacing w:after="0" w:line="217" w:lineRule="auto"/>
        <w:tabs>
          <w:tab w:leader="none" w:pos="129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This Award Agreement and the Award granted hereunder are intended to comply with, or otherwise be exempt from, Section 409A of the Code. This Award Agreement and the Award shall be administered, interpreted and construed in a manner consistent with such Code section. Should any provision of this Award Agreement or the Award be found not to comply with, or otherwise be exempt from, the provisions of Section 409A of the Code, it shall be modified and given effect, in the sole discretion of the Committee and without requiring Participant’s consent (notwithstanding any other provisions hereof), in such manner as the Committee determines to be necessary or appropriate to comply with, or effectuate an exemption from, Section 409A of the Code. Each amount payable under this Award Agreement as a payment upon vesting is designated as a separate identified payment for purposes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rPr>
          <w:sz w:val="20"/>
          <w:szCs w:val="20"/>
          <w:color w:val="auto"/>
        </w:rPr>
      </w:pPr>
      <w:r>
        <w:rPr>
          <w:rFonts w:ascii="Times New Roman" w:cs="Times New Roman" w:eastAsia="Times New Roman" w:hAnsi="Times New Roman"/>
          <w:sz w:val="16"/>
          <w:szCs w:val="16"/>
          <w:color w:val="auto"/>
        </w:rPr>
        <w:t>US 8293708v.5</w:t>
      </w:r>
    </w:p>
    <w:p>
      <w:pPr>
        <w:sectPr>
          <w:pgSz w:w="11900" w:h="16838" w:orient="portrait"/>
          <w:cols w:equalWidth="0" w:num="1">
            <w:col w:w="11240"/>
          </w:cols>
          <w:pgMar w:left="320" w:top="1440"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2"/>
          <w:szCs w:val="22"/>
          <w:b w:val="1"/>
          <w:bCs w:val="1"/>
          <w:color w:val="auto"/>
        </w:rPr>
        <w:t>SUMMARY OF 2023 COMPENSATION ARRANGEMENTS WITH NON-EMPLOYEE DIRECTORS (Effective as of December 31, 2023)</w:t>
      </w:r>
    </w:p>
    <w:p>
      <w:pPr>
        <w:spacing w:after="0" w:line="186" w:lineRule="exact"/>
        <w:rPr>
          <w:sz w:val="20"/>
          <w:szCs w:val="20"/>
          <w:color w:val="auto"/>
        </w:rPr>
      </w:pPr>
    </w:p>
    <w:p>
      <w:pPr>
        <w:jc w:val="both"/>
        <w:ind w:firstLine="475"/>
        <w:spacing w:after="0" w:line="250" w:lineRule="auto"/>
        <w:rPr>
          <w:sz w:val="20"/>
          <w:szCs w:val="20"/>
          <w:color w:val="auto"/>
        </w:rPr>
      </w:pPr>
      <w:r>
        <w:rPr>
          <w:rFonts w:ascii="Times New Roman" w:cs="Times New Roman" w:eastAsia="Times New Roman" w:hAnsi="Times New Roman"/>
          <w:sz w:val="18"/>
          <w:szCs w:val="18"/>
          <w:color w:val="auto"/>
        </w:rPr>
        <w:t>The following summarizes the compensation and benefits received by the non-employee Directors of Artivion as of December 31, 2023. It is intended to be a summary of compensation arrangements, and in no way is intended to provide any additional rights to any non-employee Director.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Retainer and Committee Chair Fees</w:t>
      </w:r>
    </w:p>
    <w:p>
      <w:pPr>
        <w:spacing w:after="0" w:line="21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Each of the non-employee Directors of the Board of Directors of Artivion (the “Board”) receives an annual cash retainer of $55,000. Each committee chair also receives a fee in addition to the annual cash retainer in the amounts shown in the following table.</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Annual Fees for Committee Chairs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40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top w:val="single" w:sz="8" w:color="CCEEFF"/>
            </w:tcBorders>
            <w:shd w:val="clear" w:color="auto" w:fill="CCEEFF"/>
          </w:tcPr>
          <w:p>
            <w:pPr>
              <w:spacing w:after="0"/>
              <w:rPr>
                <w:sz w:val="24"/>
                <w:szCs w:val="24"/>
                <w:color w:val="auto"/>
              </w:rPr>
            </w:pPr>
          </w:p>
        </w:tc>
      </w:tr>
      <w:tr>
        <w:trPr>
          <w:trHeight w:val="28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4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Pr>
          <w:p>
            <w:pPr>
              <w:spacing w:after="0"/>
              <w:rPr>
                <w:sz w:val="24"/>
                <w:szCs w:val="24"/>
                <w:color w:val="auto"/>
              </w:rPr>
            </w:pPr>
          </w:p>
        </w:tc>
      </w:tr>
      <w:tr>
        <w:trPr>
          <w:trHeight w:val="28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 Committee</w:t>
            </w:r>
          </w:p>
        </w:tc>
        <w:tc>
          <w:tcPr>
            <w:tcW w:w="4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4"/>
                <w:szCs w:val="24"/>
                <w:color w:val="auto"/>
              </w:rPr>
            </w:pPr>
          </w:p>
        </w:tc>
      </w:tr>
      <w:tr>
        <w:trPr>
          <w:trHeight w:val="28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Committee</w:t>
            </w:r>
          </w:p>
        </w:tc>
        <w:tc>
          <w:tcPr>
            <w:tcW w:w="4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4"/>
                <w:szCs w:val="24"/>
                <w:color w:val="auto"/>
              </w:rPr>
            </w:pPr>
          </w:p>
        </w:tc>
      </w:tr>
    </w:tbl>
    <w:p>
      <w:pPr>
        <w:spacing w:after="0" w:line="306" w:lineRule="exact"/>
        <w:rPr>
          <w:sz w:val="20"/>
          <w:szCs w:val="20"/>
          <w:color w:val="auto"/>
        </w:rPr>
      </w:pPr>
    </w:p>
    <w:p>
      <w:pPr>
        <w:jc w:val="both"/>
        <w:ind w:firstLine="475"/>
        <w:spacing w:after="0" w:line="237" w:lineRule="auto"/>
        <w:rPr>
          <w:sz w:val="20"/>
          <w:szCs w:val="20"/>
          <w:color w:val="auto"/>
        </w:rPr>
      </w:pPr>
      <w:r>
        <w:rPr>
          <w:rFonts w:ascii="Times New Roman" w:cs="Times New Roman" w:eastAsia="Times New Roman" w:hAnsi="Times New Roman"/>
          <w:sz w:val="18"/>
          <w:szCs w:val="18"/>
          <w:color w:val="auto"/>
        </w:rPr>
        <w:t>The Lead Director also receives a $40,000 retainer paid in cash. Currently, the Lead Director is also the Chair of the Corporate Governance Committee, and he is compensated for his position as Chair of that committee. Artivion pays all cash retainers on a monthly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committee member also receives a fee, in addition to the annual cash retainer, in the amounts shown in the following table.</w:t>
      </w: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Annual Fees for Committee Members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6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402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24"/>
                <w:szCs w:val="24"/>
                <w:color w:val="auto"/>
              </w:rPr>
            </w:pPr>
          </w:p>
        </w:tc>
      </w:tr>
      <w:tr>
        <w:trPr>
          <w:trHeight w:val="28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4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Pr>
          <w:p>
            <w:pPr>
              <w:spacing w:after="0"/>
              <w:rPr>
                <w:sz w:val="24"/>
                <w:szCs w:val="24"/>
                <w:color w:val="auto"/>
              </w:rPr>
            </w:pPr>
          </w:p>
        </w:tc>
      </w:tr>
      <w:tr>
        <w:trPr>
          <w:trHeight w:val="284"/>
        </w:trPr>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Governance Committee</w:t>
            </w:r>
          </w:p>
        </w:tc>
        <w:tc>
          <w:tcPr>
            <w:tcW w:w="4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24"/>
                <w:szCs w:val="24"/>
                <w:color w:val="auto"/>
              </w:rPr>
            </w:pPr>
          </w:p>
        </w:tc>
      </w:tr>
      <w:tr>
        <w:trPr>
          <w:trHeight w:val="28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Compliance Committee</w:t>
            </w:r>
          </w:p>
        </w:tc>
        <w:tc>
          <w:tcPr>
            <w:tcW w:w="40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24"/>
                <w:szCs w:val="24"/>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Grants</w:t>
      </w:r>
    </w:p>
    <w:p>
      <w:pPr>
        <w:spacing w:after="0" w:line="227" w:lineRule="exact"/>
        <w:rPr>
          <w:sz w:val="20"/>
          <w:szCs w:val="20"/>
          <w:color w:val="auto"/>
        </w:rPr>
      </w:pPr>
    </w:p>
    <w:p>
      <w:pPr>
        <w:jc w:val="both"/>
        <w:ind w:firstLine="475"/>
        <w:spacing w:after="0" w:line="216" w:lineRule="auto"/>
        <w:rPr>
          <w:sz w:val="20"/>
          <w:szCs w:val="20"/>
          <w:color w:val="auto"/>
        </w:rPr>
      </w:pPr>
      <w:r>
        <w:rPr>
          <w:rFonts w:ascii="Times New Roman" w:cs="Times New Roman" w:eastAsia="Times New Roman" w:hAnsi="Times New Roman"/>
          <w:sz w:val="18"/>
          <w:szCs w:val="18"/>
          <w:color w:val="auto"/>
        </w:rPr>
        <w:t>Non-employee Directors of Artivion are eligible for equity grants, which are generally made in June of each year. The annual equity portion of non-employee Director compensation for fiscal 2023 was paid in the form of a grant of 9,709 shares of restricted stock. These shares were issued following the annual meeting of stockholders and vest on the first anniversary of issuance. The size and terms of the annual equity grant are subject to annual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reevaluation by the Compensation Committee. If a Director ceases to serve as a Director as a result of death or disability or chooses not to stand for reelection following the completion of a full term of service, the equity grant will become fully vested on the date the Director ceases to be a member of the Board. If the Director ceases to be a member of the Board for any other reason, and their equity grant has not fully vested as of the date of termination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Board service, the equity grant shall automatically be forfeited and cancelled as of the date of such termination of Board service. The Compensation Committee, however, has discretion under Artivion’s Equity and Cash Incentive Plan to cause the equity grant to fully vest for certain conditions.</w:t>
      </w:r>
    </w:p>
    <w:p>
      <w:pPr>
        <w:sectPr>
          <w:pgSz w:w="11900" w:h="16838" w:orient="portrait"/>
          <w:cols w:equalWidth="0" w:num="1">
            <w:col w:w="11240"/>
          </w:cols>
          <w:pgMar w:left="320" w:top="347" w:right="339" w:bottom="1440" w:gutter="0" w:footer="0" w:header="0"/>
        </w:sectPr>
      </w:pPr>
    </w:p>
    <w:bookmarkStart w:id="138" w:name="page139"/>
    <w:bookmarkEnd w:id="138"/>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2468880" cy="3860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10.21(c)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22"/>
          <w:szCs w:val="22"/>
          <w:b w:val="1"/>
          <w:bCs w:val="1"/>
          <w:color w:val="auto"/>
        </w:rPr>
        <w:t>CERTAIN INFORMATION HAS BEEN OMITTED FROM THE VERSION OF THIS EXHIBIT FILED WITH THE SECURITIES AND EXCHANGE COMMISSION BECAUSE IT (I) IS NOT MATERIAL AND (II) WOULD BE COMPETITIVELY HARMFUL IF PUBLICLY DISCLOSED.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3 TO EXCLUSIVE DISTRIBUTION AGREEMENT</w:t>
      </w:r>
    </w:p>
    <w:p>
      <w:pPr>
        <w:spacing w:after="0" w:line="215" w:lineRule="exact"/>
        <w:rPr>
          <w:sz w:val="20"/>
          <w:szCs w:val="20"/>
          <w:color w:val="auto"/>
        </w:rPr>
      </w:pPr>
    </w:p>
    <w:p>
      <w:pPr>
        <w:ind w:right="20"/>
        <w:spacing w:after="0" w:line="207" w:lineRule="auto"/>
        <w:rPr>
          <w:sz w:val="20"/>
          <w:szCs w:val="20"/>
          <w:color w:val="auto"/>
        </w:rPr>
      </w:pPr>
      <w:r>
        <w:rPr>
          <w:rFonts w:ascii="Times New Roman" w:cs="Times New Roman" w:eastAsia="Times New Roman" w:hAnsi="Times New Roman"/>
          <w:sz w:val="17"/>
          <w:szCs w:val="17"/>
          <w:color w:val="auto"/>
        </w:rPr>
        <w:t>This Amendment No. 3 is dated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October 2023 (the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and is between JOTEC GmbH, a wholly-owned subsidiary of Artivion, Inc., located at Lotzenäcker 23, 72379 Hechingen, Germany (“</w:t>
      </w:r>
      <w:r>
        <w:rPr>
          <w:rFonts w:ascii="Times New Roman" w:cs="Times New Roman" w:eastAsia="Times New Roman" w:hAnsi="Times New Roman"/>
          <w:sz w:val="17"/>
          <w:szCs w:val="17"/>
          <w:b w:val="1"/>
          <w:bCs w:val="1"/>
          <w:color w:val="auto"/>
        </w:rPr>
        <w:t>Distributor</w:t>
      </w:r>
      <w:r>
        <w:rPr>
          <w:rFonts w:ascii="Times New Roman" w:cs="Times New Roman" w:eastAsia="Times New Roman" w:hAnsi="Times New Roman"/>
          <w:sz w:val="17"/>
          <w:szCs w:val="17"/>
          <w:color w:val="auto"/>
        </w:rPr>
        <w:t>”) and Endospan, Ltd., located at Maskit St. 4 Herzlia Business Park, Herzlia, Israel 46733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Each of Company and Distributor are sometimes hereinafter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6" w:lineRule="exact"/>
        <w:rPr>
          <w:sz w:val="20"/>
          <w:szCs w:val="20"/>
          <w:color w:val="auto"/>
        </w:rPr>
      </w:pPr>
    </w:p>
    <w:p>
      <w:pPr>
        <w:ind w:left="660" w:hanging="328"/>
        <w:spacing w:after="0" w:line="250" w:lineRule="auto"/>
        <w:tabs>
          <w:tab w:leader="none" w:pos="65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desire to amend the Exclusive Distribution Agreement entered thereby dated September 11, 2019, as amended on August 31, 2020 and December 30, 2022 (collectively, the “</w:t>
      </w:r>
      <w:r>
        <w:rPr>
          <w:rFonts w:ascii="Times New Roman" w:cs="Times New Roman" w:eastAsia="Times New Roman" w:hAnsi="Times New Roman"/>
          <w:sz w:val="18"/>
          <w:szCs w:val="18"/>
          <w:b w:val="1"/>
          <w:bCs w:val="1"/>
          <w:color w:val="auto"/>
        </w:rPr>
        <w:t>Distribution Agreement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in this Amendment and not otherwise defined herein are used as defined in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the Parties agree as follows:</w:t>
      </w:r>
    </w:p>
    <w:p>
      <w:pPr>
        <w:spacing w:after="0" w:line="208" w:lineRule="exact"/>
        <w:rPr>
          <w:sz w:val="20"/>
          <w:szCs w:val="20"/>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 to Exhibit B. </w:t>
      </w:r>
      <w:r>
        <w:rPr>
          <w:rFonts w:ascii="Times New Roman" w:cs="Times New Roman" w:eastAsia="Times New Roman" w:hAnsi="Times New Roman"/>
          <w:sz w:val="18"/>
          <w:szCs w:val="18"/>
          <w:color w:val="auto"/>
        </w:rPr>
        <w:t>Exhibit B of the Distribution Agreement is hereby amended in its entirety by replacing it with Exhibit B-1 attached hereto.</w:t>
      </w:r>
    </w:p>
    <w:p>
      <w:pPr>
        <w:spacing w:after="0" w:line="225" w:lineRule="exact"/>
        <w:rPr>
          <w:rFonts w:ascii="Times New Roman" w:cs="Times New Roman" w:eastAsia="Times New Roman" w:hAnsi="Times New Roman"/>
          <w:sz w:val="18"/>
          <w:szCs w:val="18"/>
          <w:b w:val="1"/>
          <w:bCs w:val="1"/>
          <w:color w:val="auto"/>
        </w:rPr>
      </w:pPr>
    </w:p>
    <w:p>
      <w:pPr>
        <w:ind w:firstLine="8"/>
        <w:spacing w:after="0" w:line="239" w:lineRule="auto"/>
        <w:tabs>
          <w:tab w:leader="none" w:pos="21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Continuation of the Distribution Agreement</w:t>
      </w:r>
      <w:r>
        <w:rPr>
          <w:rFonts w:ascii="Times New Roman" w:cs="Times New Roman" w:eastAsia="Times New Roman" w:hAnsi="Times New Roman"/>
          <w:sz w:val="18"/>
          <w:szCs w:val="18"/>
          <w:color w:val="auto"/>
        </w:rPr>
        <w:t>. This Amendment shall be deemed an integral part of the Distribution Agreement. Except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specifically and explicitly made in this Amendment, the Distribution Agreement remains unchanged and in full effect.</w:t>
      </w:r>
    </w:p>
    <w:p>
      <w:pPr>
        <w:spacing w:after="0" w:line="181" w:lineRule="exact"/>
        <w:rPr>
          <w:rFonts w:ascii="Times New Roman" w:cs="Times New Roman" w:eastAsia="Times New Roman" w:hAnsi="Times New Roman"/>
          <w:sz w:val="18"/>
          <w:szCs w:val="18"/>
          <w:b w:val="1"/>
          <w:bCs w:val="1"/>
          <w:color w:val="auto"/>
        </w:rPr>
      </w:pPr>
    </w:p>
    <w:p>
      <w:pPr>
        <w:ind w:left="180" w:hanging="172"/>
        <w:spacing w:after="0"/>
        <w:tabs>
          <w:tab w:leader="none" w:pos="1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3.1 Authority</w:t>
      </w:r>
      <w:r>
        <w:rPr>
          <w:rFonts w:ascii="Times New Roman" w:cs="Times New Roman" w:eastAsia="Times New Roman" w:hAnsi="Times New Roman"/>
          <w:sz w:val="18"/>
          <w:szCs w:val="18"/>
          <w:color w:val="auto"/>
        </w:rPr>
        <w:t>. The Parties represent and warrant that they have the full power and authority to enter into this Amendment and that they can do so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violating or conflicting with any laws or other agreements to which they are a Party.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Entire Agreement</w:t>
      </w:r>
      <w:r>
        <w:rPr>
          <w:rFonts w:ascii="Times New Roman" w:cs="Times New Roman" w:eastAsia="Times New Roman" w:hAnsi="Times New Roman"/>
          <w:sz w:val="18"/>
          <w:szCs w:val="18"/>
          <w:color w:val="auto"/>
        </w:rPr>
        <w:t>. This Amendment, including its Exhibits and any attachments, constitutes the final, exclusive agreement between the parties on the</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matters contained in this Amendment. All earlier and contemporaneous negotiations and agreements between the parties on the matters contained in this Amendment are expressly merged into and superseded by this Amendment. For clarification purposes, neither this Section 3.2 nor any other provision of this Amendment amends Section 11.2 of the Distribution Agreement.</w:t>
      </w:r>
    </w:p>
    <w:p>
      <w:pPr>
        <w:spacing w:after="0" w:line="19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3.3 Severability</w:t>
      </w:r>
      <w:r>
        <w:rPr>
          <w:rFonts w:ascii="Times New Roman" w:cs="Times New Roman" w:eastAsia="Times New Roman" w:hAnsi="Times New Roman"/>
          <w:sz w:val="18"/>
          <w:szCs w:val="18"/>
          <w:color w:val="auto"/>
        </w:rPr>
        <w:t>. If any provision of this Amendment is determined to be illegal or unenforceable, the remaining provisions of this Amendment remain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if the essential provisions of this Amendment for each Party remain legal and enforceable.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3.4 Choice of Law</w:t>
      </w:r>
      <w:r>
        <w:rPr>
          <w:rFonts w:ascii="Times New Roman" w:cs="Times New Roman" w:eastAsia="Times New Roman" w:hAnsi="Times New Roman"/>
          <w:sz w:val="18"/>
          <w:szCs w:val="18"/>
          <w:color w:val="auto"/>
        </w:rPr>
        <w:t>. The laws of Delaware, U.S.A. (without regard to its conflict of law principles) govern all matters arising from or relating to this</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Amendment. The state or federal courts of Delaware, U.S.A. will have exclusive jurisdiction over any dispute arising from or relating to this Amendment. Each Party knowingly, voluntarily, and intentionally waives its right to a trial by jury in any legal proceeding arising from or relating to this Amendment. This waiver applies to any legal proceeding, whether sounding in contract, tort, or otherwise. Each Party acknowledges that it has received the advice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counsel.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Party is signing this Amendment on the date stated below that Party’s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146050</wp:posOffset>
            </wp:positionV>
            <wp:extent cx="5434965" cy="10629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41">
                      <a:extLst>
                        <a:ext uri="{28A0092B-C50C-407E-A947-70E740481C1C}"/>
                      </a:extLst>
                    </a:blip>
                    <a:srcRect/>
                    <a:stretch>
                      <a:fillRect/>
                    </a:stretch>
                  </pic:blipFill>
                  <pic:spPr bwMode="auto">
                    <a:xfrm>
                      <a:off x="0" y="0"/>
                      <a:ext cx="5434965" cy="10629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2468880" cy="3860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Distributor:</w:t>
            </w:r>
          </w:p>
        </w:tc>
        <w:tc>
          <w:tcPr>
            <w:tcW w:w="46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418"/>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JOTEC GmbH</w:t>
            </w:r>
          </w:p>
        </w:tc>
        <w:tc>
          <w:tcPr>
            <w:tcW w:w="46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Endospan, Ltd.</w:t>
            </w:r>
          </w:p>
        </w:tc>
        <w:tc>
          <w:tcPr>
            <w:tcW w:w="0" w:type="dxa"/>
            <w:vAlign w:val="bottom"/>
          </w:tcPr>
          <w:p>
            <w:pPr>
              <w:spacing w:after="0"/>
              <w:rPr>
                <w:sz w:val="1"/>
                <w:szCs w:val="1"/>
                <w:color w:val="auto"/>
              </w:rPr>
            </w:pPr>
          </w:p>
        </w:tc>
      </w:tr>
      <w:tr>
        <w:trPr>
          <w:trHeight w:val="445"/>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By</w:t>
            </w:r>
            <w:r>
              <w:rPr>
                <w:rFonts w:ascii="Times New Roman" w:cs="Times New Roman" w:eastAsia="Times New Roman" w:hAnsi="Times New Roman"/>
                <w:sz w:val="18"/>
                <w:szCs w:val="18"/>
                <w:color w:val="auto"/>
              </w:rPr>
              <w:t>: __/s/ Karl Will_________________________</w:t>
            </w:r>
          </w:p>
        </w:tc>
        <w:tc>
          <w:tcPr>
            <w:tcW w:w="46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By: </w:t>
            </w:r>
            <w:r>
              <w:rPr>
                <w:rFonts w:ascii="Times New Roman" w:cs="Times New Roman" w:eastAsia="Times New Roman" w:hAnsi="Times New Roman"/>
                <w:sz w:val="18"/>
                <w:szCs w:val="18"/>
                <w:color w:val="auto"/>
              </w:rPr>
              <w:t>___/s/ Kevin Mayberry_______________</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Karl Will</w:t>
            </w:r>
          </w:p>
        </w:tc>
        <w:tc>
          <w:tcPr>
            <w:tcW w:w="46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8"/>
                <w:szCs w:val="18"/>
                <w:color w:val="auto"/>
              </w:rPr>
              <w:t>: Kevin Mayberry</w:t>
            </w:r>
          </w:p>
        </w:tc>
        <w:tc>
          <w:tcPr>
            <w:tcW w:w="0" w:type="dxa"/>
            <w:vAlign w:val="bottom"/>
          </w:tcPr>
          <w:p>
            <w:pPr>
              <w:spacing w:after="0"/>
              <w:rPr>
                <w:sz w:val="1"/>
                <w:szCs w:val="1"/>
                <w:color w:val="auto"/>
              </w:rPr>
            </w:pPr>
          </w:p>
        </w:tc>
      </w:tr>
      <w:tr>
        <w:trPr>
          <w:trHeight w:val="229"/>
        </w:trPr>
        <w:tc>
          <w:tcPr>
            <w:tcW w:w="4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Vice President of Sales &amp; Marketing EMEA</w:t>
            </w:r>
          </w:p>
        </w:tc>
        <w:tc>
          <w:tcPr>
            <w:tcW w:w="460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98"/>
        </w:trPr>
        <w:tc>
          <w:tcPr>
            <w:tcW w:w="4780" w:type="dxa"/>
            <w:vAlign w:val="bottom"/>
            <w:gridSpan w:val="5"/>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__10.10.2023__________________________</w:t>
            </w:r>
          </w:p>
        </w:tc>
        <w:tc>
          <w:tcPr>
            <w:tcW w:w="460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b w:val="1"/>
                <w:bCs w:val="1"/>
                <w:color w:val="auto"/>
                <w:w w:val="99"/>
              </w:rPr>
              <w:t xml:space="preserve">Date: </w:t>
            </w:r>
            <w:r>
              <w:rPr>
                <w:rFonts w:ascii="Times New Roman" w:cs="Times New Roman" w:eastAsia="Times New Roman" w:hAnsi="Times New Roman"/>
                <w:sz w:val="18"/>
                <w:szCs w:val="18"/>
                <w:color w:val="auto"/>
                <w:w w:val="99"/>
              </w:rPr>
              <w:t>_____Oct. 18, 2023___________________</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340" w:type="dxa"/>
            <w:vAlign w:val="bottom"/>
          </w:tcPr>
          <w:p>
            <w:pPr>
              <w:spacing w:after="0"/>
              <w:rPr>
                <w:sz w:val="14"/>
                <w:szCs w:val="14"/>
                <w:color w:val="auto"/>
              </w:rPr>
            </w:pPr>
          </w:p>
        </w:tc>
        <w:tc>
          <w:tcPr>
            <w:tcW w:w="46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368935</wp:posOffset>
            </wp:positionV>
            <wp:extent cx="5434965" cy="10629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3">
                      <a:extLst>
                        <a:ext uri="{28A0092B-C50C-407E-A947-70E740481C1C}"/>
                      </a:extLst>
                    </a:blip>
                    <a:srcRect/>
                    <a:stretch>
                      <a:fillRect/>
                    </a:stretch>
                  </pic:blipFill>
                  <pic:spPr bwMode="auto">
                    <a:xfrm>
                      <a:off x="0" y="0"/>
                      <a:ext cx="5434965" cy="1062990"/>
                    </a:xfrm>
                    <a:prstGeom prst="rect">
                      <a:avLst/>
                    </a:prstGeom>
                    <a:noFill/>
                  </pic:spPr>
                </pic:pic>
              </a:graphicData>
            </a:graphic>
          </wp:anchor>
        </w:drawing>
      </w:r>
    </w:p>
    <w:p>
      <w:pPr>
        <w:sectPr>
          <w:pgSz w:w="11900" w:h="16838" w:orient="portrait"/>
          <w:cols w:equalWidth="0" w:num="1">
            <w:col w:w="10059"/>
          </w:cols>
          <w:pgMar w:left="400" w:top="1440" w:right="1440"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2468880" cy="3860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2468880" cy="386080"/>
                    </a:xfrm>
                    <a:prstGeom prst="rect">
                      <a:avLst/>
                    </a:prstGeom>
                    <a:noFill/>
                  </pic:spPr>
                </pic:pic>
              </a:graphicData>
            </a:graphic>
          </wp:anchor>
        </w:drawing>
      </w:r>
    </w:p>
    <w:p>
      <w:pPr>
        <w:spacing w:after="0" w:line="320" w:lineRule="exact"/>
        <w:rPr>
          <w:sz w:val="20"/>
          <w:szCs w:val="20"/>
          <w:color w:val="auto"/>
        </w:rPr>
      </w:pPr>
    </w:p>
    <w:p>
      <w:pPr>
        <w:jc w:val="right"/>
        <w:ind w:right="3979"/>
        <w:spacing w:after="0"/>
        <w:rPr>
          <w:sz w:val="20"/>
          <w:szCs w:val="20"/>
          <w:color w:val="auto"/>
        </w:rPr>
      </w:pPr>
      <w:r>
        <w:rPr>
          <w:rFonts w:ascii="Times New Roman" w:cs="Times New Roman" w:eastAsia="Times New Roman" w:hAnsi="Times New Roman"/>
          <w:sz w:val="18"/>
          <w:szCs w:val="18"/>
          <w:b w:val="1"/>
          <w:bCs w:val="1"/>
          <w:color w:val="181818"/>
        </w:rPr>
        <w:t>EXHIBIT B-1</w:t>
      </w:r>
    </w:p>
    <w:p>
      <w:pPr>
        <w:ind w:left="5080"/>
        <w:spacing w:after="0"/>
        <w:rPr>
          <w:sz w:val="20"/>
          <w:szCs w:val="20"/>
          <w:color w:val="auto"/>
        </w:rPr>
      </w:pPr>
      <w:r>
        <w:rPr>
          <w:rFonts w:ascii="Times New Roman" w:cs="Times New Roman" w:eastAsia="Times New Roman" w:hAnsi="Times New Roman"/>
          <w:sz w:val="17"/>
          <w:szCs w:val="17"/>
          <w:b w:val="1"/>
          <w:bCs w:val="1"/>
          <w:color w:val="181818"/>
        </w:rPr>
        <w:t>TERRITORY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925830</wp:posOffset>
            </wp:positionV>
            <wp:extent cx="5434965" cy="10629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45">
                      <a:extLst>
                        <a:ext uri="{28A0092B-C50C-407E-A947-70E740481C1C}"/>
                      </a:extLst>
                    </a:blip>
                    <a:srcRect/>
                    <a:stretch>
                      <a:fillRect/>
                    </a:stretch>
                  </pic:blipFill>
                  <pic:spPr bwMode="auto">
                    <a:xfrm>
                      <a:off x="0" y="0"/>
                      <a:ext cx="5434965" cy="10629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1645920" cy="6261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6">
                      <a:extLst>
                        <a:ext uri="{28A0092B-C50C-407E-A947-70E740481C1C}"/>
                      </a:extLst>
                    </a:blip>
                    <a:srcRect/>
                    <a:stretch>
                      <a:fillRect/>
                    </a:stretch>
                  </pic:blipFill>
                  <pic:spPr bwMode="auto">
                    <a:xfrm>
                      <a:off x="0" y="0"/>
                      <a:ext cx="16459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340" w:right="280"/>
        <w:spacing w:after="0" w:line="299" w:lineRule="auto"/>
        <w:rPr>
          <w:sz w:val="20"/>
          <w:szCs w:val="20"/>
          <w:color w:val="auto"/>
        </w:rPr>
      </w:pPr>
      <w:r>
        <w:rPr>
          <w:rFonts w:ascii="Times New Roman" w:cs="Times New Roman" w:eastAsia="Times New Roman" w:hAnsi="Times New Roman"/>
          <w:sz w:val="21"/>
          <w:szCs w:val="21"/>
          <w:b w:val="1"/>
          <w:bCs w:val="1"/>
          <w:color w:val="auto"/>
        </w:rPr>
        <w:t>CERTAIN INFORMATION HAS BEEN OMITTED OR REDACTED FROM THE VERSION OF THIS EXHIBIT FILED WITH THE SECURITIES AND EXCHANGE COMMISSION TO PROTECT PERSONAL PRIVACY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w:t>
      </w:r>
    </w:p>
    <w:p>
      <w:pPr>
        <w:spacing w:after="0"/>
        <w:rPr>
          <w:sz w:val="20"/>
          <w:szCs w:val="20"/>
          <w:color w:val="auto"/>
        </w:rPr>
      </w:pPr>
      <w:r>
        <w:rPr>
          <w:rFonts w:ascii="Times New Roman" w:cs="Times New Roman" w:eastAsia="Times New Roman" w:hAnsi="Times New Roman"/>
          <w:sz w:val="18"/>
          <w:szCs w:val="18"/>
          <w:color w:val="auto"/>
        </w:rPr>
        <w:t>December 4,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D. Ashley Lee</w:t>
      </w:r>
    </w:p>
    <w:p>
      <w:pPr>
        <w:spacing w:after="0" w:line="205" w:lineRule="auto"/>
        <w:rPr>
          <w:sz w:val="20"/>
          <w:szCs w:val="20"/>
          <w:color w:val="auto"/>
        </w:rPr>
      </w:pPr>
      <w:r>
        <w:rPr>
          <w:rFonts w:ascii="Times New Roman" w:cs="Times New Roman" w:eastAsia="Times New Roman" w:hAnsi="Times New Roman"/>
          <w:sz w:val="18"/>
          <w:szCs w:val="18"/>
          <w:color w:val="auto"/>
        </w:rPr>
        <w:t>[REDACTED]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Retirement Eligibility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Ashley:</w:t>
      </w:r>
    </w:p>
    <w:p>
      <w:pPr>
        <w:spacing w:after="0" w:line="21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It is with great pleasure that I inform you that the Compensation Committee (the “Committee”) of the Board of Directors of Artivion, Inc. (“Artivion” or the “Company”) has approved, upon my recommendation, your request that you be deemed eligible to retire from the Company under the Committee’s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recently adopted “continue to settle” guidelines. This approval applies to all previously Company issued equity, including all 2023 PSUs (annual, Special and Tranche 3). Even though you have not yet reached the threshold eligibility, in light of your dedicated twenty-nine (29) years of service with the Company and the fact that you will turn sixty (60) years old in July 2024, the Committee approved your request without hesitation.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you know, under these guidelines, to be eligible to participate in this program, you must:</w:t>
      </w:r>
    </w:p>
    <w:p>
      <w:pPr>
        <w:spacing w:after="0" w:line="212" w:lineRule="exact"/>
        <w:rPr>
          <w:sz w:val="20"/>
          <w:szCs w:val="20"/>
          <w:color w:val="auto"/>
        </w:rPr>
      </w:pPr>
    </w:p>
    <w:p>
      <w:pPr>
        <w:ind w:left="660" w:hanging="328"/>
        <w:spacing w:after="0" w:line="222" w:lineRule="auto"/>
        <w:tabs>
          <w:tab w:leader="none" w:pos="6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positively assist the Company in its transition to a new Chief Financial Officer, as determined in my sole discretion, as well as assist the Company and cooperate in any matters after your retirement date, legal or otherwise, including any legal or regulatory matters ;</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08" w:lineRule="auto"/>
        <w:tabs>
          <w:tab w:leader="none" w:pos="6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the Company and its officers, directors and employees a full release of claims, including a full release of any claims under your existing agreements with the Company, except the post-termination provisions of your Indemnification Agreement, as well as any claims you may have under the Company’s non-qualified deferred compensation program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Exhibit A, attached);</w:t>
      </w:r>
    </w:p>
    <w:p>
      <w:pPr>
        <w:spacing w:after="0" w:line="1" w:lineRule="exact"/>
        <w:rPr>
          <w:rFonts w:ascii="Times New Roman" w:cs="Times New Roman" w:eastAsia="Times New Roman" w:hAnsi="Times New Roman"/>
          <w:sz w:val="18"/>
          <w:szCs w:val="18"/>
          <w:color w:val="auto"/>
        </w:rPr>
      </w:pPr>
    </w:p>
    <w:p>
      <w:pPr>
        <w:ind w:left="660" w:hanging="328"/>
        <w:spacing w:after="0" w:line="203" w:lineRule="auto"/>
        <w:tabs>
          <w:tab w:leader="none" w:pos="65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abide by the Employee Proprietary Information Agreement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Exhibit B, attached), including the confidentiality, non-compete and non-solicitation provisions contained therein, for the duration of those provisions (absent a waiver by the Company); and</w:t>
      </w:r>
    </w:p>
    <w:p>
      <w:pPr>
        <w:jc w:val="both"/>
        <w:ind w:left="660" w:hanging="328"/>
        <w:spacing w:after="0" w:line="218" w:lineRule="auto"/>
        <w:tabs>
          <w:tab w:leader="none" w:pos="6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not to disparage the Company, its directors and officers in the future,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that, unless required to do so by legal process, you will not make any disparaging statements or representations, either directly or indirectly, whether orally or in writing, by word or gesture, to any person whatsoever, about Artivion or any of Artivion’s directors, officers, employees, agents or representatives. Similarly, the Company’s Board, Chief Executive Officer, General Counsel and new Chief Financial Officer likewise agree not to disparage you in any way, absent required to do so by legal process.</w:t>
      </w:r>
    </w:p>
    <w:p>
      <w:pPr>
        <w:spacing w:after="0" w:line="18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the Compensation Committee has agreed that, even though you will not be an employee at the time of payout of the 2023 Cash Bonus, you will receive that bonus after and consistent with the Compensation Committee’s certification of financial performance results for 2023 (with no downward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modification) (such certification happening typically in February 2024) and that you shall receive such Cash Bonus during the Company’s payroll cycle in 2024 when such bonuses are typically paid.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Finally, please consult with your tax advisor as to when it makes sense to begin taking payments under the Company’s deferred compensation plan. At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minimum, under federal law, you cannot begin to take such payments in less than seven months after your Retirement Date, but it may be longer with your consulting agreement. Once you have reached a decision on when such payments should commence, please work with Matt Getz and Jason Grier to ensure these payments are timely and compliant.</w:t>
      </w:r>
    </w:p>
    <w:p>
      <w:pPr>
        <w:sectPr>
          <w:pgSz w:w="11900" w:h="16838" w:orient="portrait"/>
          <w:cols w:equalWidth="0" w:num="1">
            <w:col w:w="11240"/>
          </w:cols>
          <w:pgMar w:left="320" w:top="347" w:right="339" w:bottom="1440" w:gutter="0" w:footer="0" w:header="0"/>
        </w:sectPr>
      </w:pPr>
    </w:p>
    <w:bookmarkStart w:id="142" w:name="page143"/>
    <w:bookmarkEnd w:id="142"/>
    <w:p>
      <w:pPr>
        <w:spacing w:after="0" w:line="11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Thank you again, Ashley, for all you have done for the Company over these twenty-nine (29) years. I have very much enjoyed our time working together over these past nine years. I and the members of our Board of Directors wish you well in your retirement.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below to acknowledge your acceptance of these terms, no earlier than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Patrick Mackin</w:t>
      </w:r>
    </w:p>
    <w:p>
      <w:pPr>
        <w:spacing w:after="0" w:line="219" w:lineRule="auto"/>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3" w:lineRule="auto"/>
        <w:rPr>
          <w:sz w:val="20"/>
          <w:szCs w:val="20"/>
          <w:color w:val="auto"/>
        </w:rPr>
      </w:pPr>
      <w:r>
        <w:rPr>
          <w:rFonts w:ascii="Times New Roman" w:cs="Times New Roman" w:eastAsia="Times New Roman" w:hAnsi="Times New Roman"/>
          <w:sz w:val="18"/>
          <w:szCs w:val="18"/>
          <w:color w:val="auto"/>
        </w:rPr>
        <w:t>Artivion,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Acknowledged and agreed to:</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w:t>
      </w:r>
      <w:r>
        <w:rPr>
          <w:rFonts w:ascii="Times New Roman" w:cs="Times New Roman" w:eastAsia="Times New Roman" w:hAnsi="Times New Roman"/>
          <w:sz w:val="18"/>
          <w:szCs w:val="18"/>
          <w:u w:val="single" w:color="auto"/>
          <w:color w:val="auto"/>
        </w:rPr>
        <w:t>/s/ D. Ashley Lee</w:t>
      </w:r>
      <w:r>
        <w:rPr>
          <w:rFonts w:ascii="Times New Roman" w:cs="Times New Roman" w:eastAsia="Times New Roman" w:hAnsi="Times New Roman"/>
          <w:sz w:val="18"/>
          <w:szCs w:val="18"/>
          <w:color w:val="auto"/>
        </w:rPr>
        <w:t>___________________</w:t>
      </w:r>
    </w:p>
    <w:p>
      <w:pPr>
        <w:spacing w:after="0" w:line="205" w:lineRule="auto"/>
        <w:rPr>
          <w:sz w:val="20"/>
          <w:szCs w:val="20"/>
          <w:color w:val="auto"/>
        </w:rPr>
      </w:pPr>
      <w:r>
        <w:rPr>
          <w:rFonts w:ascii="Times New Roman" w:cs="Times New Roman" w:eastAsia="Times New Roman" w:hAnsi="Times New Roman"/>
          <w:sz w:val="18"/>
          <w:szCs w:val="18"/>
          <w:color w:val="auto"/>
        </w:rPr>
        <w:t>D. Ashley Lee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Cambria" w:cs="Cambria" w:eastAsia="Cambria" w:hAnsi="Cambria"/>
          <w:sz w:val="20"/>
          <w:szCs w:val="20"/>
          <w:b w:val="1"/>
          <w:bCs w:val="1"/>
          <w:color w:val="auto"/>
        </w:rPr>
        <w:t>2</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A (Release of Claims)</w:t>
      </w:r>
    </w:p>
    <w:p>
      <w:pPr>
        <w:spacing w:after="0" w:line="216" w:lineRule="exact"/>
        <w:rPr>
          <w:sz w:val="20"/>
          <w:szCs w:val="20"/>
          <w:color w:val="auto"/>
        </w:rPr>
      </w:pPr>
    </w:p>
    <w:p>
      <w:pPr>
        <w:jc w:val="both"/>
        <w:ind w:firstLine="656"/>
        <w:spacing w:after="0" w:line="212" w:lineRule="auto"/>
        <w:tabs>
          <w:tab w:leader="none" w:pos="12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In consideration of the covenants from Artivion to D. Ashley Lee (“Employee”) set forth above, the receipt and sufficiency of which are hereby acknowledged, Employee agrees to release and forever discharge, to the maximum extent permitted by law, Artivion and all of its present and former officers, directors, partners, employees, agents, insurers, affiliates, attorneys, parents, subsidiaries, shareholders, agents and representatives (hereafter, the “Released Parties”) from any and all claims and causes of action (including but not limited to costs and attorneys’ fees) of whatever kind or nature, joint or several, under any agreement with Artivion, including any change of control agreement, (except this Agreement, any relevant provisions of the Company’s non-qualified deferred compensation plans and arrangements, and the post-termination provisions of Employee’s Indemnification Agreement), any federal, state or local statute, ordinance or under the common law, including, but not limited to, the Age Discrimination in Employment Act, the Older Workers’ Benefit Protection Act, Title VII of the Civil Rights Act of 1964, the Civil Rights Act of 1991, the Americans with Disabilities Act, the Fair Credit Reporting Act, the Equal Pay Act, the Fair Labor Standards Act, the Workers Compensation Act, the Employee Retirement Income Security Act of 1974, the Family and Medical Leave Act of 1993, the Unemployment Compensation laws and any claim for retaliation or wrongful discharge of employment as a result of any present or future whistleblower claim (provided that nothing herein shall prevent Employee from reporting any concerns that he might have that are protected activities under the Dodd-Frank Act, nor is this Agreement designed to impede such activity by Employee), and any other employment discrimination law, state or federal, as well as any other claims based on constitutional, statutory, common law, or regulatory grounds, that Employee has now or may have in the future against the Released Parties, whether known or unknown, which are based on acts or facts arising or occurring prior to the Effective Date of this Agreement. In order to avoid any ambiguity, the Employee specifically waives unknown claims pursuant to California Civil Code Section 1542.</w:t>
      </w:r>
    </w:p>
    <w:p>
      <w:pPr>
        <w:spacing w:after="0" w:line="193" w:lineRule="exact"/>
        <w:rPr>
          <w:rFonts w:ascii="Times New Roman" w:cs="Times New Roman" w:eastAsia="Times New Roman" w:hAnsi="Times New Roman"/>
          <w:sz w:val="18"/>
          <w:szCs w:val="18"/>
          <w:color w:val="auto"/>
        </w:rPr>
      </w:pPr>
    </w:p>
    <w:p>
      <w:pPr>
        <w:jc w:val="both"/>
        <w:ind w:left="1300" w:hanging="320"/>
        <w:spacing w:after="0" w:line="217"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construed as prohibiting Employee from making a claim with the Equal Employment Opportunity Commission or any similar or equivalent state agency or the National Labor Relations Board, or from filing a whistleblower or other report with the United States Securities and Exchange Commission or other governmental administrative agency, or from assisting any third-party, by providing truthful testimony, in pursuit of such future claim, action, or lawsuit of any kind. Notwithstanding the foregoing, should Employee pursue any such administrative claim or otherwise assist any third-party in the pursuit of such administrative claim, action or lawsuit of any kind, Employee, to the maximum extent allowed by law and excluding monetary whistleblower awards under the Dodd-Frank Act, agrees and acknowledges that he will not seek, and hereby waives and forfeits, any right to recover monetary damages associated with any such claim, action, or proceeding.</w:t>
      </w:r>
    </w:p>
    <w:p>
      <w:pPr>
        <w:spacing w:after="0" w:line="190" w:lineRule="exact"/>
        <w:rPr>
          <w:rFonts w:ascii="Times New Roman" w:cs="Times New Roman" w:eastAsia="Times New Roman" w:hAnsi="Times New Roman"/>
          <w:sz w:val="18"/>
          <w:szCs w:val="18"/>
          <w:color w:val="auto"/>
        </w:rPr>
      </w:pPr>
    </w:p>
    <w:p>
      <w:pPr>
        <w:ind w:left="1300" w:hanging="320"/>
        <w:spacing w:after="0" w:line="237" w:lineRule="auto"/>
        <w:tabs>
          <w:tab w:leader="none" w:pos="130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represents and warrants that neither Employee nor anyone acting on Employee’s behalf has filed or initiated any charge, claim or lawsuit against the Released Parties in any administrative or judicial proceeding.</w:t>
      </w:r>
    </w:p>
    <w:p>
      <w:pPr>
        <w:spacing w:after="0" w:line="198" w:lineRule="exact"/>
        <w:rPr>
          <w:rFonts w:ascii="Times New Roman" w:cs="Times New Roman" w:eastAsia="Times New Roman" w:hAnsi="Times New Roman"/>
          <w:sz w:val="18"/>
          <w:szCs w:val="18"/>
          <w:color w:val="auto"/>
        </w:rPr>
      </w:pPr>
    </w:p>
    <w:p>
      <w:pPr>
        <w:ind w:left="1300" w:right="20" w:hanging="320"/>
        <w:spacing w:after="0" w:line="237" w:lineRule="auto"/>
        <w:tabs>
          <w:tab w:leader="none" w:pos="129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also represents and warrants that he is not aware of any fact or circumstance giving rise to a claim released herein or any improprieties relating to employment, tax, or securities laws and regulations on the part of any of the Released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3</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B (Employee Proprietary Information Agreement) (“EPIA”)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attachment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459"/>
        <w:spacing w:after="0"/>
        <w:rPr>
          <w:sz w:val="20"/>
          <w:szCs w:val="20"/>
          <w:color w:val="auto"/>
        </w:rPr>
      </w:pPr>
      <w:r>
        <w:rPr>
          <w:rFonts w:ascii="Cambria" w:cs="Cambria" w:eastAsia="Cambria" w:hAnsi="Cambria"/>
          <w:sz w:val="20"/>
          <w:szCs w:val="20"/>
          <w:b w:val="1"/>
          <w:bCs w:val="1"/>
          <w:color w:val="auto"/>
        </w:rPr>
        <w:t>4</w:t>
      </w:r>
    </w:p>
    <w:p>
      <w:pPr>
        <w:sectPr>
          <w:pgSz w:w="11900" w:h="16838" w:orient="portrait"/>
          <w:cols w:equalWidth="0" w:num="1">
            <w:col w:w="10139"/>
          </w:cols>
          <w:pgMar w:left="320" w:top="1440"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1"/>
        <w:spacing w:after="0" w:line="286" w:lineRule="auto"/>
        <w:rPr>
          <w:sz w:val="20"/>
          <w:szCs w:val="20"/>
          <w:color w:val="auto"/>
        </w:rPr>
      </w:pPr>
      <w:r>
        <w:rPr>
          <w:rFonts w:ascii="Times New Roman" w:cs="Times New Roman" w:eastAsia="Times New Roman" w:hAnsi="Times New Roman"/>
          <w:sz w:val="21"/>
          <w:szCs w:val="21"/>
          <w:b w:val="1"/>
          <w:bCs w:val="1"/>
          <w:color w:val="auto"/>
        </w:rPr>
        <w:t>CERTAIN INFORMATION HAS BEEN OMITTED OR REDACTED FROM THE VERSION OF THIS EXHIBIT FILED WITH THE SECURITIES AND EXCHANGE COMMISSION TO PROTECT PERSONAL PRIVACY</w:t>
      </w:r>
    </w:p>
    <w:p>
      <w:pPr>
        <w:spacing w:after="0" w:line="28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22"/>
          <w:szCs w:val="22"/>
          <w:b w:val="1"/>
          <w:bCs w:val="1"/>
          <w:u w:val="single" w:color="auto"/>
          <w:color w:val="auto"/>
        </w:rPr>
        <w:t>CONSULTING AGREEMENT</w:t>
      </w:r>
    </w:p>
    <w:p>
      <w:pPr>
        <w:spacing w:after="0" w:line="233" w:lineRule="exact"/>
        <w:rPr>
          <w:sz w:val="20"/>
          <w:szCs w:val="20"/>
          <w:color w:val="auto"/>
        </w:rPr>
      </w:pPr>
    </w:p>
    <w:p>
      <w:pPr>
        <w:ind w:left="9" w:right="100" w:firstLine="648"/>
        <w:spacing w:after="0" w:line="222" w:lineRule="auto"/>
        <w:rPr>
          <w:sz w:val="20"/>
          <w:szCs w:val="20"/>
          <w:color w:val="auto"/>
        </w:rPr>
      </w:pPr>
      <w:r>
        <w:rPr>
          <w:rFonts w:ascii="Times New Roman" w:cs="Times New Roman" w:eastAsia="Times New Roman" w:hAnsi="Times New Roman"/>
          <w:sz w:val="18"/>
          <w:szCs w:val="18"/>
          <w:color w:val="auto"/>
        </w:rPr>
        <w:t>THIS CONSULTING AGREEMENT (“Agreement”) is entered into as of this 1st day of January 2024 (“Effective Date”) by and between Artivion, Inc., on its own behalf and on behalf of its affiliates (collectively, “Artivion”), and D. Ashley Lee, a resident of the State of Georgia</w:t>
      </w:r>
    </w:p>
    <w:p>
      <w:pPr>
        <w:spacing w:after="0" w:line="2"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color w:val="auto"/>
        </w:rPr>
        <w:t>(“Consultant”).</w:t>
      </w:r>
    </w:p>
    <w:p>
      <w:pPr>
        <w:spacing w:after="0" w:line="201"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Artivion desires to engage the Consultant to provide the Services (defined below); and</w:t>
      </w:r>
    </w:p>
    <w:p>
      <w:pPr>
        <w:spacing w:after="0" w:line="225"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Consultant desires to provide the Services to Artivion.</w:t>
      </w:r>
    </w:p>
    <w:p>
      <w:pPr>
        <w:spacing w:after="0" w:line="225" w:lineRule="exact"/>
        <w:rPr>
          <w:sz w:val="20"/>
          <w:szCs w:val="20"/>
          <w:color w:val="auto"/>
        </w:rPr>
      </w:pPr>
    </w:p>
    <w:p>
      <w:pPr>
        <w:ind w:left="9" w:right="120"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for good and valuable consideration, the sufficiency and receipt of which is hereby acknowledged by both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promises and covenants and releases contained herein, the parties agree as follows:</w:t>
      </w:r>
    </w:p>
    <w:p>
      <w:pPr>
        <w:spacing w:after="0" w:line="195" w:lineRule="exact"/>
        <w:rPr>
          <w:sz w:val="20"/>
          <w:szCs w:val="20"/>
          <w:color w:val="auto"/>
        </w:rPr>
      </w:pPr>
    </w:p>
    <w:p>
      <w:pPr>
        <w:jc w:val="both"/>
        <w:ind w:left="9" w:right="120" w:hanging="8"/>
        <w:spacing w:after="0" w:line="220" w:lineRule="auto"/>
        <w:tabs>
          <w:tab w:leader="none" w:pos="50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Consulting Relationship. </w:t>
      </w:r>
      <w:r>
        <w:rPr>
          <w:rFonts w:ascii="Times New Roman" w:cs="Times New Roman" w:eastAsia="Times New Roman" w:hAnsi="Times New Roman"/>
          <w:sz w:val="18"/>
          <w:szCs w:val="18"/>
          <w:color w:val="auto"/>
        </w:rPr>
        <w:t>The relationship of Artivion and Consultant established by this Agreement is that of independent contractor,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contained in this Agreement shall be deemed or construed by the parties or by any third party as creating any other type of relationship. Consultant will not have, or purport to have, the right, authority, or power to enter into contracts or commitments on behalf of Artivion, and any such contracts or commitments entered into by Consultant will not be binding on Artivion. Consultant agrees not to claim any rights with respect to any employee benefits that Artivion may extend to its employees, including without limitation disability or unemployment insurance, Workers Compensation insurance, medical insurance, sick leave or any other employment benefit.</w:t>
      </w:r>
    </w:p>
    <w:p>
      <w:pPr>
        <w:spacing w:after="0" w:line="198" w:lineRule="exact"/>
        <w:rPr>
          <w:rFonts w:ascii="Times New Roman" w:cs="Times New Roman" w:eastAsia="Times New Roman" w:hAnsi="Times New Roman"/>
          <w:sz w:val="18"/>
          <w:szCs w:val="18"/>
          <w:b w:val="1"/>
          <w:bCs w:val="1"/>
          <w:color w:val="auto"/>
        </w:rPr>
      </w:pPr>
    </w:p>
    <w:p>
      <w:pPr>
        <w:ind w:left="9" w:right="120" w:hanging="8"/>
        <w:spacing w:after="0" w:line="239" w:lineRule="auto"/>
        <w:tabs>
          <w:tab w:leader="none" w:pos="50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Consulting Services. </w:t>
      </w:r>
      <w:r>
        <w:rPr>
          <w:rFonts w:ascii="Times New Roman" w:cs="Times New Roman" w:eastAsia="Times New Roman" w:hAnsi="Times New Roman"/>
          <w:sz w:val="18"/>
          <w:szCs w:val="18"/>
          <w:color w:val="auto"/>
        </w:rPr>
        <w:t>Consultant will use his best efforts in performing the services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(the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be available, as is reasonably possible, when called upon by Artivion for meetings or discussions.</w:t>
      </w:r>
    </w:p>
    <w:p>
      <w:pPr>
        <w:spacing w:after="0" w:line="195" w:lineRule="exact"/>
        <w:rPr>
          <w:rFonts w:ascii="Times New Roman" w:cs="Times New Roman" w:eastAsia="Times New Roman" w:hAnsi="Times New Roman"/>
          <w:sz w:val="18"/>
          <w:szCs w:val="18"/>
          <w:b w:val="1"/>
          <w:bCs w:val="1"/>
          <w:color w:val="auto"/>
        </w:rPr>
      </w:pPr>
    </w:p>
    <w:p>
      <w:pPr>
        <w:jc w:val="both"/>
        <w:ind w:left="9" w:right="100" w:hanging="9"/>
        <w:spacing w:after="0" w:line="232" w:lineRule="auto"/>
        <w:tabs>
          <w:tab w:leader="none" w:pos="50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w:t>
      </w:r>
      <w:r>
        <w:rPr>
          <w:rFonts w:ascii="Times New Roman" w:cs="Times New Roman" w:eastAsia="Times New Roman" w:hAnsi="Times New Roman"/>
          <w:sz w:val="18"/>
          <w:szCs w:val="18"/>
          <w:color w:val="auto"/>
        </w:rPr>
        <w:t>Consultant will (i) aid and assist in Artivion’s efforts in performing the Services and (ii) refrain from damaging, orally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Artivion’s goodwill in any manner or form. Artivion will refrain from damaging, orally or in writing, Consultant’s relationships with its other clients or Consultant’s goodwill in any manner or form.</w:t>
      </w:r>
    </w:p>
    <w:p>
      <w:pPr>
        <w:spacing w:after="0" w:line="196" w:lineRule="exact"/>
        <w:rPr>
          <w:rFonts w:ascii="Times New Roman" w:cs="Times New Roman" w:eastAsia="Times New Roman" w:hAnsi="Times New Roman"/>
          <w:sz w:val="18"/>
          <w:szCs w:val="18"/>
          <w:b w:val="1"/>
          <w:bCs w:val="1"/>
          <w:color w:val="auto"/>
        </w:rPr>
      </w:pPr>
    </w:p>
    <w:p>
      <w:pPr>
        <w:ind w:left="649" w:hanging="649"/>
        <w:spacing w:after="0"/>
        <w:tabs>
          <w:tab w:leader="none" w:pos="649"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229" w:lineRule="exact"/>
        <w:rPr>
          <w:rFonts w:ascii="Times New Roman" w:cs="Times New Roman" w:eastAsia="Times New Roman" w:hAnsi="Times New Roman"/>
          <w:sz w:val="18"/>
          <w:szCs w:val="18"/>
          <w:b w:val="1"/>
          <w:bCs w:val="1"/>
          <w:color w:val="auto"/>
        </w:rPr>
      </w:pPr>
    </w:p>
    <w:p>
      <w:pPr>
        <w:jc w:val="both"/>
        <w:ind w:left="9" w:right="100" w:firstLine="639"/>
        <w:spacing w:after="0" w:line="220" w:lineRule="auto"/>
        <w:tabs>
          <w:tab w:leader="none" w:pos="1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term of this Agreement, Artivion will pay Consultant a monthly consulting fee for Services performed as set forth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attached hereto for a period of twelve (12) months. Such monthly fee shall be $41,250.00 and shall be paid, less appropriate taxes and withholding, no later than the first Friday after the end of the month in which such Services shall be performed. Sums paid pursuant to this paragraph shall be an off-set against any sums subsequently owed to the Consultant pursuant to any other arrangement, including any change in control agreement, if applicable. Such sums, however, shall not be off-set by any sums Mr. Lee may earn through another consulting arrangement or employment so long as such employment or consulting in not in competition with the Company (absent a waiver by the Company).</w:t>
      </w:r>
    </w:p>
    <w:p>
      <w:pPr>
        <w:spacing w:after="0" w:line="198" w:lineRule="exact"/>
        <w:rPr>
          <w:rFonts w:ascii="Times New Roman" w:cs="Times New Roman" w:eastAsia="Times New Roman" w:hAnsi="Times New Roman"/>
          <w:sz w:val="18"/>
          <w:szCs w:val="18"/>
          <w:color w:val="auto"/>
        </w:rPr>
      </w:pPr>
    </w:p>
    <w:p>
      <w:pPr>
        <w:jc w:val="both"/>
        <w:ind w:left="9" w:right="120" w:firstLine="639"/>
        <w:spacing w:after="0" w:line="221" w:lineRule="auto"/>
        <w:tabs>
          <w:tab w:leader="none" w:pos="115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to be paid promptly upon execution of this agreement, of $50,000.00 in Transitional Expenses to cover such expenses as continued COBRA coverage for one year, as well as the differential in the increase in taxes between employee and consulting payroll taxes for the payments set forth in paragraph 4a) above.</w:t>
      </w:r>
    </w:p>
    <w:p>
      <w:pPr>
        <w:spacing w:after="0" w:line="1" w:lineRule="exact"/>
        <w:rPr>
          <w:rFonts w:ascii="Times New Roman" w:cs="Times New Roman" w:eastAsia="Times New Roman" w:hAnsi="Times New Roman"/>
          <w:sz w:val="18"/>
          <w:szCs w:val="18"/>
          <w:color w:val="auto"/>
        </w:rPr>
      </w:pPr>
    </w:p>
    <w:p>
      <w:pPr>
        <w:jc w:val="both"/>
        <w:ind w:left="9" w:right="100" w:firstLine="638"/>
        <w:spacing w:after="0" w:line="216" w:lineRule="auto"/>
        <w:tabs>
          <w:tab w:leader="none" w:pos="116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Artivion agrees to reimburse Consultant for any expense which is reasonably incurred by Consultant in connection with Consultant’s performance of the Services, provided the nature and amount of such expense has been expressly approved in advance in writing by Artivion prior to any expenses being incurred and further provided that the Consultant provides receipts for all expenses which must be billed at cost. If applicable, it is expected that air travel will be in comfort class only and moderately priced hotels will be used, except that in the case of travel outside of North America, Consultant may travel business class. Consultant agrees to keep accurate records and to submit such statements and records as Artivion may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4"/>
          <w:szCs w:val="14"/>
          <w:color w:val="auto"/>
        </w:rPr>
        <w:t>Page 1 of 4</w:t>
      </w:r>
    </w:p>
    <w:p>
      <w:pPr>
        <w:sectPr>
          <w:pgSz w:w="11900" w:h="16838" w:orient="portrait"/>
          <w:cols w:equalWidth="0" w:num="1">
            <w:col w:w="11089"/>
          </w:cols>
          <w:pgMar w:left="471" w:top="590" w:right="339" w:bottom="1440" w:gutter="0" w:footer="0" w:header="0"/>
        </w:sectPr>
      </w:pPr>
    </w:p>
    <w:bookmarkStart w:id="146" w:name="page147"/>
    <w:bookmarkEnd w:id="146"/>
    <w:p>
      <w:pPr>
        <w:ind w:left="9" w:right="20" w:hanging="9"/>
        <w:spacing w:after="0" w:line="239" w:lineRule="auto"/>
        <w:tabs>
          <w:tab w:leader="none" w:pos="38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Termination</w:t>
      </w:r>
      <w:r>
        <w:rPr>
          <w:rFonts w:ascii="Times New Roman" w:cs="Times New Roman" w:eastAsia="Times New Roman" w:hAnsi="Times New Roman"/>
          <w:sz w:val="18"/>
          <w:szCs w:val="18"/>
          <w:color w:val="auto"/>
        </w:rPr>
        <w:t>. This Agreement will commence as of the Effective Date and will continue for twelve (12) months, unless otherwise agreed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This Agreement may not be terminated by either party except for a material breach of any provision of this Agreement.</w:t>
      </w:r>
    </w:p>
    <w:p>
      <w:pPr>
        <w:spacing w:after="0" w:line="199"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color w:val="auto"/>
        </w:rPr>
        <w:t>The term of this Agreement will not discharge the rights and obligations of the parties that accrued prior to the effective date of such</w:t>
      </w:r>
    </w:p>
    <w:p>
      <w:pPr>
        <w:spacing w:after="0" w:line="2" w:lineRule="exact"/>
        <w:rPr>
          <w:sz w:val="20"/>
          <w:szCs w:val="20"/>
          <w:color w:val="auto"/>
        </w:rPr>
      </w:pPr>
    </w:p>
    <w:p>
      <w:pPr>
        <w:jc w:val="both"/>
        <w:ind w:left="9" w:right="100"/>
        <w:spacing w:after="0" w:line="218" w:lineRule="auto"/>
        <w:rPr>
          <w:sz w:val="20"/>
          <w:szCs w:val="20"/>
          <w:color w:val="auto"/>
        </w:rPr>
      </w:pPr>
      <w:r>
        <w:rPr>
          <w:rFonts w:ascii="Times New Roman" w:cs="Times New Roman" w:eastAsia="Times New Roman" w:hAnsi="Times New Roman"/>
          <w:sz w:val="18"/>
          <w:szCs w:val="18"/>
          <w:color w:val="auto"/>
        </w:rPr>
        <w:t>termination. Within thirty (30) days after the termination or expiration of this Agreement, Consultant will send a final invoice to Artivion for payment in accordance with this Agreement; however, Consultant, may, if appropriate, send a subsequent invoice for reimbursement of expenses it actually incurred during the term of this Agreement, but for which it did not receive a receipt in time for inclusion in its final invoice.</w:t>
      </w:r>
    </w:p>
    <w:p>
      <w:pPr>
        <w:spacing w:after="0" w:line="195" w:lineRule="exact"/>
        <w:rPr>
          <w:sz w:val="20"/>
          <w:szCs w:val="20"/>
          <w:color w:val="auto"/>
        </w:rPr>
      </w:pPr>
    </w:p>
    <w:p>
      <w:pPr>
        <w:jc w:val="both"/>
        <w:ind w:left="9" w:hanging="9"/>
        <w:spacing w:after="0" w:line="212" w:lineRule="auto"/>
        <w:tabs>
          <w:tab w:leader="none" w:pos="411"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Trade Secrets and Confidential Information</w:t>
      </w:r>
      <w:r>
        <w:rPr>
          <w:rFonts w:ascii="Times New Roman" w:cs="Times New Roman" w:eastAsia="Times New Roman" w:hAnsi="Times New Roman"/>
          <w:sz w:val="18"/>
          <w:szCs w:val="18"/>
          <w:color w:val="auto"/>
        </w:rPr>
        <w:t>. During the term of this Agreement and thereafter, Consultant will not, without the express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Artivion, directly or indirectly, communicate or divulge to, or use for its own benefit or for the benefit of any other person, firm, association, or corporation, any of Artivion’s or its subsidiaries’, affiliates’, divisions’ or partners’ confidential information, which includes, but is not limited to, all personal information, ideas, discoveries, designs, inventions, improvements, patents, trademarks, service marks, trade secrets, know-how, manufacturing processes and equipment, product formulae, design specifications, FDA filings, field assurance information, patient information (if applicable), complaint history, internal investigations, writings and other works of authorship, financial information, accounting information, marketing plans, customer lists, customer or business data, business plans or methods, and the like, which relate in any manner to proprietary data or other confidential information (“Confidential Information”) communicated to or otherwise learned or acquired by Consultant during its relationship with Artivion, except that Consultant may disclose Confidential Information to the extent that: (a) Artivion directs Consultant to do so in the course of its consulting relationship with Artivion; (b) the Confidential Information becomes part of the public domain through no act or omission of Consultant; (c) Consultant can document that it already lawfully possessed the Confidential Information on a non-confidential basis prior to its receipt from Artivion; (d) a court or other governmental body of competent jurisdiction requires such disclosure; or (e) Consultant has employed, at his own expense and with Artivion’s prior written consent, the services of a sub-contractor to work on the Services and has subjected that sub-contractor in writing to a non-disclosure agreement at least as restrictive as this Agreement. Consultant will not use Confidential Information in any way or in any capacity other than as Artivion’s consultant and to further Artivion’s interests during the term of this Agreement. All written information, drawings, documents, and materials prepared in the course of Consultant’s supplying its services to Artivion will be the property of Artivion and will be delivered to Artivion by Consultant, whenever requested by Artivion. Artivion will have the exclusive right to use all of the information and technology supplied by Consultant in connection with Consultant’s providing of the Services contemplated in this Agreement.</w:t>
      </w:r>
    </w:p>
    <w:p>
      <w:pPr>
        <w:spacing w:after="0" w:line="205" w:lineRule="exact"/>
        <w:rPr>
          <w:rFonts w:ascii="Times New Roman" w:cs="Times New Roman" w:eastAsia="Times New Roman" w:hAnsi="Times New Roman"/>
          <w:sz w:val="18"/>
          <w:szCs w:val="18"/>
          <w:b w:val="1"/>
          <w:bCs w:val="1"/>
          <w:color w:val="auto"/>
        </w:rPr>
      </w:pPr>
    </w:p>
    <w:p>
      <w:pPr>
        <w:jc w:val="both"/>
        <w:ind w:left="9" w:hanging="9"/>
        <w:spacing w:after="0" w:line="232" w:lineRule="auto"/>
        <w:tabs>
          <w:tab w:leader="none" w:pos="396"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written notice required hereunder must be deemed given in writing and delivered by hand, overnight courier, mailed or electronically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(certified or registered, return receipt requested) properly addressed with postage prepaid to the following address of each party, or to such other address as may hereafter be designated in writing by such party to the other party:</w:t>
      </w:r>
    </w:p>
    <w:p>
      <w:pPr>
        <w:sectPr>
          <w:pgSz w:w="11900" w:h="16838" w:orient="portrait"/>
          <w:cols w:equalWidth="0" w:num="1">
            <w:col w:w="11089"/>
          </w:cols>
          <w:pgMar w:left="471" w:top="1400" w:right="339" w:bottom="1440" w:gutter="0" w:footer="0" w:header="0"/>
        </w:sectPr>
      </w:pPr>
    </w:p>
    <w:p>
      <w:pPr>
        <w:spacing w:after="0" w:line="200"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As to Artivion: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Jean Holloway, General Counsel</w:t>
      </w:r>
    </w:p>
    <w:p>
      <w:pPr>
        <w:ind w:left="300"/>
        <w:spacing w:after="0" w:line="215" w:lineRule="auto"/>
        <w:rPr>
          <w:sz w:val="20"/>
          <w:szCs w:val="20"/>
          <w:color w:val="auto"/>
        </w:rPr>
      </w:pPr>
      <w:r>
        <w:rPr>
          <w:rFonts w:ascii="Times New Roman" w:cs="Times New Roman" w:eastAsia="Times New Roman" w:hAnsi="Times New Roman"/>
          <w:sz w:val="17"/>
          <w:szCs w:val="17"/>
          <w:color w:val="auto"/>
        </w:rPr>
        <w:t>1655 Roberts Blvd., NW, Kennesaw, GA 30144</w:t>
      </w:r>
    </w:p>
    <w:p>
      <w:pPr>
        <w:ind w:left="300"/>
        <w:spacing w:after="0"/>
        <w:rPr>
          <w:sz w:val="20"/>
          <w:szCs w:val="20"/>
          <w:color w:val="auto"/>
        </w:rPr>
      </w:pPr>
      <w:r>
        <w:rPr>
          <w:rFonts w:ascii="Times New Roman" w:cs="Times New Roman" w:eastAsia="Times New Roman" w:hAnsi="Times New Roman"/>
          <w:sz w:val="18"/>
          <w:szCs w:val="18"/>
          <w:color w:val="auto"/>
        </w:rPr>
        <w:t>Email: legal@artivion.com</w:t>
      </w:r>
    </w:p>
    <w:p>
      <w:pPr>
        <w:spacing w:after="0" w:line="200" w:lineRule="exact"/>
        <w:rPr>
          <w:sz w:val="20"/>
          <w:szCs w:val="20"/>
          <w:color w:val="auto"/>
        </w:rPr>
      </w:pPr>
    </w:p>
    <w:p>
      <w:pPr>
        <w:sectPr>
          <w:pgSz w:w="11900" w:h="16838" w:orient="portrait"/>
          <w:cols w:equalWidth="0" w:num="2">
            <w:col w:w="2389" w:space="400"/>
            <w:col w:w="8300"/>
          </w:cols>
          <w:pgMar w:left="471" w:top="1400" w:right="339" w:bottom="1440" w:gutter="0" w:footer="0" w:header="0"/>
          <w:type w:val="continuous"/>
        </w:sectPr>
      </w:pPr>
    </w:p>
    <w:p>
      <w:pPr>
        <w:spacing w:after="0" w:line="5"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7"/>
          <w:szCs w:val="17"/>
          <w:color w:val="auto"/>
        </w:rPr>
        <w:t>As to Consultant: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 Ashley Lee</w:t>
      </w:r>
    </w:p>
    <w:p>
      <w:pPr>
        <w:spacing w:after="0" w:line="1" w:lineRule="exact"/>
        <w:rPr>
          <w:sz w:val="20"/>
          <w:szCs w:val="20"/>
          <w:color w:val="auto"/>
        </w:rPr>
      </w:pPr>
    </w:p>
    <w:p>
      <w:pPr>
        <w:sectPr>
          <w:pgSz w:w="11900" w:h="16838" w:orient="portrait"/>
          <w:cols w:equalWidth="0" w:num="2">
            <w:col w:w="2549" w:space="420"/>
            <w:col w:w="8120"/>
          </w:cols>
          <w:pgMar w:left="471" w:top="1400" w:right="339" w:bottom="1440" w:gutter="0" w:footer="0" w:header="0"/>
          <w:type w:val="continuous"/>
        </w:sectPr>
      </w:pPr>
    </w:p>
    <w:p>
      <w:pPr>
        <w:ind w:left="3089"/>
        <w:spacing w:after="0" w:line="219" w:lineRule="auto"/>
        <w:rPr>
          <w:sz w:val="20"/>
          <w:szCs w:val="20"/>
          <w:color w:val="auto"/>
        </w:rPr>
      </w:pPr>
      <w:r>
        <w:rPr>
          <w:rFonts w:ascii="Times New Roman" w:cs="Times New Roman" w:eastAsia="Times New Roman" w:hAnsi="Times New Roman"/>
          <w:sz w:val="18"/>
          <w:szCs w:val="18"/>
          <w:color w:val="auto"/>
        </w:rPr>
        <w:t>[REDACTED]</w:t>
      </w:r>
    </w:p>
    <w:p>
      <w:pPr>
        <w:ind w:left="3089"/>
        <w:spacing w:after="0" w:line="203" w:lineRule="auto"/>
        <w:rPr>
          <w:sz w:val="20"/>
          <w:szCs w:val="20"/>
          <w:color w:val="auto"/>
        </w:rPr>
      </w:pPr>
      <w:r>
        <w:rPr>
          <w:rFonts w:ascii="Times New Roman" w:cs="Times New Roman" w:eastAsia="Times New Roman" w:hAnsi="Times New Roman"/>
          <w:sz w:val="18"/>
          <w:szCs w:val="18"/>
          <w:color w:val="auto"/>
        </w:rPr>
        <w:t>[REDACTED]</w:t>
      </w:r>
    </w:p>
    <w:p>
      <w:pPr>
        <w:spacing w:after="0" w:line="1" w:lineRule="exact"/>
        <w:rPr>
          <w:sz w:val="20"/>
          <w:szCs w:val="20"/>
          <w:color w:val="auto"/>
        </w:rPr>
      </w:pPr>
    </w:p>
    <w:p>
      <w:pPr>
        <w:ind w:left="3089"/>
        <w:spacing w:after="0"/>
        <w:rPr>
          <w:sz w:val="20"/>
          <w:szCs w:val="20"/>
          <w:color w:val="auto"/>
        </w:rPr>
      </w:pPr>
      <w:r>
        <w:rPr>
          <w:rFonts w:ascii="Times New Roman" w:cs="Times New Roman" w:eastAsia="Times New Roman" w:hAnsi="Times New Roman"/>
          <w:sz w:val="18"/>
          <w:szCs w:val="18"/>
          <w:color w:val="auto"/>
        </w:rPr>
        <w:t>Email: [REDACTED]</w:t>
      </w:r>
    </w:p>
    <w:p>
      <w:pPr>
        <w:sectPr>
          <w:pgSz w:w="11900" w:h="16838" w:orient="portrait"/>
          <w:cols w:equalWidth="0" w:num="1">
            <w:col w:w="11089"/>
          </w:cols>
          <w:pgMar w:left="471" w:top="1400" w:right="339" w:bottom="1440" w:gutter="0" w:footer="0" w:header="0"/>
          <w:type w:val="continuous"/>
        </w:sectPr>
      </w:pPr>
    </w:p>
    <w:p>
      <w:pPr>
        <w:spacing w:after="0" w:line="201" w:lineRule="exact"/>
        <w:rPr>
          <w:sz w:val="20"/>
          <w:szCs w:val="20"/>
          <w:color w:val="auto"/>
        </w:rPr>
      </w:pPr>
    </w:p>
    <w:p>
      <w:pPr>
        <w:jc w:val="both"/>
        <w:ind w:left="9" w:hanging="9"/>
        <w:spacing w:after="0" w:line="232" w:lineRule="auto"/>
        <w:tabs>
          <w:tab w:leader="none" w:pos="391"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 Signatures</w:t>
      </w:r>
      <w:r>
        <w:rPr>
          <w:rFonts w:ascii="Times New Roman" w:cs="Times New Roman" w:eastAsia="Times New Roman" w:hAnsi="Times New Roman"/>
          <w:sz w:val="18"/>
          <w:szCs w:val="18"/>
          <w:color w:val="auto"/>
        </w:rPr>
        <w:t>. This Agreement may be executed in several counterparts and all counterparts so executed will constitute the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parties. Digital, mechanical or electronic reproduction (such as, but not limited to, a photocopy, email, PDF, Adobe image, or jpeg) of signatures will constitute original signatures for all purposes of this Agreement and any enforcement of this Agreement.</w:t>
      </w:r>
    </w:p>
    <w:p>
      <w:pPr>
        <w:spacing w:after="0" w:line="196" w:lineRule="exact"/>
        <w:rPr>
          <w:rFonts w:ascii="Times New Roman" w:cs="Times New Roman" w:eastAsia="Times New Roman" w:hAnsi="Times New Roman"/>
          <w:sz w:val="18"/>
          <w:szCs w:val="18"/>
          <w:b w:val="1"/>
          <w:bCs w:val="1"/>
          <w:color w:val="auto"/>
        </w:rPr>
      </w:pPr>
    </w:p>
    <w:p>
      <w:pPr>
        <w:jc w:val="both"/>
        <w:ind w:left="9" w:right="20" w:hanging="9"/>
        <w:spacing w:after="0" w:line="227" w:lineRule="auto"/>
        <w:tabs>
          <w:tab w:leader="none" w:pos="386"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This Agreement will be binding upon and inure to the benefit of the parties and their successors and permitted assigns. Neither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assign or transfer this Agreement or any rights hereunder without first obtaining the written consent of the other party, which shall not be unreasonably withheld.</w:t>
      </w:r>
    </w:p>
    <w:p>
      <w:pPr>
        <w:spacing w:after="0" w:line="195" w:lineRule="exact"/>
        <w:rPr>
          <w:rFonts w:ascii="Times New Roman" w:cs="Times New Roman" w:eastAsia="Times New Roman" w:hAnsi="Times New Roman"/>
          <w:sz w:val="18"/>
          <w:szCs w:val="18"/>
          <w:b w:val="1"/>
          <w:bCs w:val="1"/>
          <w:color w:val="auto"/>
        </w:rPr>
      </w:pPr>
    </w:p>
    <w:p>
      <w:pPr>
        <w:jc w:val="both"/>
        <w:ind w:left="9" w:hanging="9"/>
        <w:spacing w:after="0" w:line="225" w:lineRule="auto"/>
        <w:tabs>
          <w:tab w:leader="none" w:pos="47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Separability, Waivers</w:t>
      </w:r>
      <w:r>
        <w:rPr>
          <w:rFonts w:ascii="Times New Roman" w:cs="Times New Roman" w:eastAsia="Times New Roman" w:hAnsi="Times New Roman"/>
          <w:sz w:val="18"/>
          <w:szCs w:val="18"/>
          <w:color w:val="auto"/>
        </w:rPr>
        <w:t>. The terms and conditions of this Agreement are separable. Any term or provision of this Agreement that is held invalid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court of competent jurisdiction will not affect the validity or enforceability of the remaining terms and conditions of this Agreement. The waiver by either party of any breach, or a party’s failure to enforce any term of this Agreement will not be deemed to affect, limit, or waive that party’s right thereafter to require compliance with the terms and conditions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4"/>
          <w:szCs w:val="14"/>
          <w:color w:val="auto"/>
        </w:rPr>
        <w:t>Page 2 of 4</w:t>
      </w:r>
    </w:p>
    <w:p>
      <w:pPr>
        <w:sectPr>
          <w:pgSz w:w="11900" w:h="16838" w:orient="portrait"/>
          <w:cols w:equalWidth="0" w:num="1">
            <w:col w:w="11089"/>
          </w:cols>
          <w:pgMar w:left="471" w:top="1400" w:right="339" w:bottom="1440" w:gutter="0" w:footer="0" w:header="0"/>
          <w:type w:val="continuous"/>
        </w:sectPr>
      </w:pPr>
    </w:p>
    <w:bookmarkStart w:id="147" w:name="page148"/>
    <w:bookmarkEnd w:id="147"/>
    <w:p>
      <w:pPr>
        <w:spacing w:after="0" w:line="217" w:lineRule="exact"/>
        <w:rPr>
          <w:sz w:val="20"/>
          <w:szCs w:val="20"/>
          <w:color w:val="auto"/>
        </w:rPr>
      </w:pPr>
    </w:p>
    <w:p>
      <w:pPr>
        <w:jc w:val="both"/>
        <w:ind w:left="9" w:hanging="9"/>
        <w:spacing w:after="0" w:line="225" w:lineRule="auto"/>
        <w:tabs>
          <w:tab w:leader="none" w:pos="468"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Entire Agreement, Modification</w:t>
      </w:r>
      <w:r>
        <w:rPr>
          <w:rFonts w:ascii="Times New Roman" w:cs="Times New Roman" w:eastAsia="Times New Roman" w:hAnsi="Times New Roman"/>
          <w:sz w:val="18"/>
          <w:szCs w:val="18"/>
          <w:color w:val="auto"/>
        </w:rPr>
        <w:t>. This Agreement constitutes the entire agreement and understanding between the parties as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and supersedes all other prior and contemporaneous understandings whether oral or written, of the parties in connection herewith; provided, however, that this Agreement does not supersede prior confidentiality or nondisclosure agreements and understandings between the parties. This Agreement may not be modified or amended, except by a written amendment signed by both parties hereto.</w:t>
      </w:r>
    </w:p>
    <w:p>
      <w:pPr>
        <w:spacing w:after="0" w:line="195" w:lineRule="exact"/>
        <w:rPr>
          <w:rFonts w:ascii="Times New Roman" w:cs="Times New Roman" w:eastAsia="Times New Roman" w:hAnsi="Times New Roman"/>
          <w:sz w:val="18"/>
          <w:szCs w:val="18"/>
          <w:b w:val="1"/>
          <w:bCs w:val="1"/>
          <w:color w:val="auto"/>
        </w:rPr>
      </w:pPr>
    </w:p>
    <w:p>
      <w:pPr>
        <w:ind w:left="9" w:hanging="9"/>
        <w:spacing w:after="0" w:line="239" w:lineRule="auto"/>
        <w:tabs>
          <w:tab w:leader="none" w:pos="516"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All controversies and disputes arising out of or under this Agreement will be determined pursuant to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Georgia, regardless of applicable principles of conflict of laws.</w:t>
      </w:r>
    </w:p>
    <w:p>
      <w:pPr>
        <w:spacing w:after="0" w:line="303" w:lineRule="exact"/>
        <w:rPr>
          <w:sz w:val="20"/>
          <w:szCs w:val="20"/>
          <w:color w:val="auto"/>
        </w:rPr>
      </w:pPr>
    </w:p>
    <w:p>
      <w:pPr>
        <w:ind w:left="649"/>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Effective Date.</w:t>
      </w:r>
    </w:p>
    <w:p>
      <w:pPr>
        <w:spacing w:after="0" w:line="200" w:lineRule="exact"/>
        <w:rPr>
          <w:sz w:val="20"/>
          <w:szCs w:val="20"/>
          <w:color w:val="auto"/>
        </w:rPr>
      </w:pPr>
    </w:p>
    <w:p>
      <w:pPr>
        <w:spacing w:after="0" w:line="205" w:lineRule="exact"/>
        <w:rPr>
          <w:sz w:val="20"/>
          <w:szCs w:val="20"/>
          <w:color w:val="auto"/>
        </w:rPr>
      </w:pPr>
    </w:p>
    <w:tbl>
      <w:tblPr>
        <w:tblLayout w:type="fixed"/>
        <w:tblInd w:w="29" w:type="dxa"/>
        <w:tblCellMar>
          <w:top w:w="0" w:type="dxa"/>
          <w:left w:w="0" w:type="dxa"/>
          <w:bottom w:w="0" w:type="dxa"/>
          <w:right w:w="0" w:type="dxa"/>
        </w:tblCellMar>
      </w:tblPr>
      <w:tr>
        <w:trPr>
          <w:trHeight w:val="261"/>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CONSULTANT</w:t>
            </w:r>
          </w:p>
        </w:tc>
        <w:tc>
          <w:tcPr>
            <w:tcW w:w="46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ARTIVION, INC.</w:t>
            </w:r>
          </w:p>
        </w:tc>
        <w:tc>
          <w:tcPr>
            <w:tcW w:w="0" w:type="dxa"/>
            <w:vAlign w:val="bottom"/>
          </w:tcPr>
          <w:p>
            <w:pPr>
              <w:spacing w:after="0"/>
              <w:rPr>
                <w:sz w:val="1"/>
                <w:szCs w:val="1"/>
                <w:color w:val="auto"/>
              </w:rPr>
            </w:pPr>
          </w:p>
        </w:tc>
      </w:tr>
      <w:tr>
        <w:trPr>
          <w:trHeight w:val="344"/>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 /s/ J. Patrick Mackin</w:t>
            </w:r>
          </w:p>
        </w:tc>
        <w:tc>
          <w:tcPr>
            <w:tcW w:w="0" w:type="dxa"/>
            <w:vAlign w:val="bottom"/>
          </w:tcPr>
          <w:p>
            <w:pPr>
              <w:spacing w:after="0"/>
              <w:rPr>
                <w:sz w:val="1"/>
                <w:szCs w:val="1"/>
                <w:color w:val="auto"/>
              </w:rPr>
            </w:pPr>
          </w:p>
        </w:tc>
      </w:tr>
      <w:tr>
        <w:trPr>
          <w:trHeight w:val="148"/>
        </w:trPr>
        <w:tc>
          <w:tcPr>
            <w:tcW w:w="1740" w:type="dxa"/>
            <w:vAlign w:val="bottom"/>
            <w:gridSpan w:val="2"/>
          </w:tcPr>
          <w:p>
            <w:pPr>
              <w:spacing w:after="0" w:line="149" w:lineRule="exact"/>
              <w:rPr>
                <w:sz w:val="20"/>
                <w:szCs w:val="20"/>
                <w:color w:val="auto"/>
              </w:rPr>
            </w:pPr>
            <w:r>
              <w:rPr>
                <w:rFonts w:ascii="Times New Roman" w:cs="Times New Roman" w:eastAsia="Times New Roman" w:hAnsi="Times New Roman"/>
                <w:sz w:val="17"/>
                <w:szCs w:val="17"/>
                <w:color w:val="auto"/>
              </w:rPr>
              <w:t>By: /s/ D. Ashley Lee</w:t>
            </w:r>
          </w:p>
        </w:tc>
        <w:tc>
          <w:tcPr>
            <w:tcW w:w="3020" w:type="dxa"/>
            <w:vAlign w:val="bottom"/>
          </w:tcPr>
          <w:p>
            <w:pPr>
              <w:ind w:left="40"/>
              <w:spacing w:after="0" w:line="149" w:lineRule="exact"/>
              <w:rPr>
                <w:sz w:val="20"/>
                <w:szCs w:val="20"/>
                <w:color w:val="auto"/>
              </w:rPr>
            </w:pPr>
            <w:r>
              <w:rPr>
                <w:rFonts w:ascii="Times New Roman" w:cs="Times New Roman" w:eastAsia="Times New Roman" w:hAnsi="Times New Roman"/>
                <w:sz w:val="17"/>
                <w:szCs w:val="17"/>
                <w:color w:val="auto"/>
              </w:rPr>
              <w:t>Name: D. Ashley Lee</w:t>
            </w:r>
          </w:p>
        </w:tc>
        <w:tc>
          <w:tcPr>
            <w:tcW w:w="1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80" w:type="dxa"/>
            <w:vAlign w:val="bottom"/>
            <w:gridSpan w:val="2"/>
            <w:vMerge w:val="restart"/>
          </w:tcPr>
          <w:p>
            <w:pPr>
              <w:ind w:left="2720"/>
              <w:spacing w:after="0"/>
              <w:rPr>
                <w:sz w:val="20"/>
                <w:szCs w:val="20"/>
                <w:color w:val="auto"/>
              </w:rPr>
            </w:pPr>
            <w:r>
              <w:rPr>
                <w:rFonts w:ascii="Times New Roman" w:cs="Times New Roman" w:eastAsia="Times New Roman" w:hAnsi="Times New Roman"/>
                <w:sz w:val="18"/>
                <w:szCs w:val="18"/>
                <w:color w:val="auto"/>
              </w:rPr>
              <w:t>Name: J. Patrick Mackin</w:t>
            </w:r>
          </w:p>
        </w:tc>
        <w:tc>
          <w:tcPr>
            <w:tcW w:w="0" w:type="dxa"/>
            <w:vAlign w:val="bottom"/>
          </w:tcPr>
          <w:p>
            <w:pPr>
              <w:spacing w:after="0" w:line="20" w:lineRule="exact"/>
              <w:rPr>
                <w:sz w:val="1"/>
                <w:szCs w:val="1"/>
                <w:color w:val="auto"/>
              </w:rPr>
            </w:pPr>
          </w:p>
        </w:tc>
      </w:tr>
      <w:tr>
        <w:trPr>
          <w:trHeight w:val="331"/>
        </w:trPr>
        <w:tc>
          <w:tcPr>
            <w:tcW w:w="1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Consultant</w:t>
            </w:r>
          </w:p>
        </w:tc>
        <w:tc>
          <w:tcPr>
            <w:tcW w:w="4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tbl>
      <w:tblPr>
        <w:tblLayout w:type="fixed"/>
        <w:tblInd w:w="29" w:type="dxa"/>
        <w:tblCellMar>
          <w:top w:w="0" w:type="dxa"/>
          <w:left w:w="0" w:type="dxa"/>
          <w:bottom w:w="0" w:type="dxa"/>
          <w:right w:w="0" w:type="dxa"/>
        </w:tblCellMar>
      </w:tblPr>
      <w:tr>
        <w:trPr>
          <w:trHeight w:val="234"/>
        </w:trPr>
        <w:tc>
          <w:tcPr>
            <w:tcW w:w="3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Date: _12/31/2023_______________</w:t>
            </w:r>
          </w:p>
        </w:tc>
        <w:tc>
          <w:tcPr>
            <w:tcW w:w="48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w w:val="99"/>
              </w:rPr>
              <w:t>Title: Chairman, President and Chief Executive Officer</w:t>
            </w:r>
          </w:p>
        </w:tc>
        <w:tc>
          <w:tcPr>
            <w:tcW w:w="0" w:type="dxa"/>
            <w:vAlign w:val="bottom"/>
          </w:tcPr>
          <w:p>
            <w:pPr>
              <w:spacing w:after="0"/>
              <w:rPr>
                <w:sz w:val="1"/>
                <w:szCs w:val="1"/>
                <w:color w:val="auto"/>
              </w:rPr>
            </w:pPr>
          </w:p>
        </w:tc>
      </w:tr>
      <w:tr>
        <w:trPr>
          <w:trHeight w:val="41"/>
        </w:trPr>
        <w:tc>
          <w:tcPr>
            <w:tcW w:w="3580" w:type="dxa"/>
            <w:vAlign w:val="bottom"/>
            <w:gridSpan w:val="3"/>
            <w:vMerge w:val="continue"/>
          </w:tcPr>
          <w:p>
            <w:pPr>
              <w:spacing w:after="0"/>
              <w:rPr>
                <w:sz w:val="3"/>
                <w:szCs w:val="3"/>
                <w:color w:val="auto"/>
              </w:rPr>
            </w:pPr>
          </w:p>
        </w:tc>
        <w:tc>
          <w:tcPr>
            <w:tcW w:w="13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5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4860" w:type="dxa"/>
            <w:vAlign w:val="bottom"/>
            <w:gridSpan w:val="3"/>
          </w:tcPr>
          <w:p>
            <w:pPr>
              <w:ind w:left="880"/>
              <w:spacing w:after="0"/>
              <w:rPr>
                <w:sz w:val="20"/>
                <w:szCs w:val="20"/>
                <w:color w:val="auto"/>
              </w:rPr>
            </w:pPr>
            <w:r>
              <w:rPr>
                <w:rFonts w:ascii="Times New Roman" w:cs="Times New Roman" w:eastAsia="Times New Roman" w:hAnsi="Times New Roman"/>
                <w:sz w:val="18"/>
                <w:szCs w:val="18"/>
                <w:color w:val="auto"/>
              </w:rPr>
              <w:t>Date: 01/02/2024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4"/>
          <w:szCs w:val="14"/>
          <w:color w:val="auto"/>
        </w:rPr>
        <w:t>Page 3 of 4</w:t>
      </w:r>
    </w:p>
    <w:p>
      <w:pPr>
        <w:sectPr>
          <w:pgSz w:w="11900" w:h="16838" w:orient="portrait"/>
          <w:cols w:equalWidth="0" w:num="1">
            <w:col w:w="11089"/>
          </w:cols>
          <w:pgMar w:left="471" w:top="1440" w:right="339" w:bottom="1440" w:gutter="0" w:footer="0" w:header="0"/>
        </w:sectPr>
      </w:pPr>
    </w:p>
    <w:bookmarkStart w:id="148" w:name="page149"/>
    <w:bookmarkEnd w:id="148"/>
    <w:p>
      <w:pPr>
        <w:spacing w:after="0" w:line="2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u w:val="single" w:color="auto"/>
          <w:color w:val="auto"/>
        </w:rPr>
        <w:t>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Consultant will perform the following services as requested by Artivion (the “Services”):</w:t>
      </w:r>
    </w:p>
    <w:p>
      <w:pPr>
        <w:spacing w:after="0" w:line="131" w:lineRule="exact"/>
        <w:rPr>
          <w:sz w:val="20"/>
          <w:szCs w:val="20"/>
          <w:color w:val="auto"/>
        </w:rPr>
      </w:pPr>
    </w:p>
    <w:p>
      <w:pPr>
        <w:jc w:val="both"/>
        <w:ind w:left="640" w:hanging="324"/>
        <w:spacing w:after="0" w:line="224" w:lineRule="auto"/>
        <w:tabs>
          <w:tab w:leader="none" w:pos="63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will provide advice and expertise as reasonably requested by either the Chair of the Artivion, Inc. Audit Committee, the Chief Executive Officer, the Chief Financial Officer, the General Counsel, the Chief Accounting Officer, and any other member of senior management authorized to make such requests by the Chair of the Audit Committee or the Chief Executive Officer. Such services shall include, if requested, assistance and cooperation in any legal or regulatory matter after Consultant’s Retirement Date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Page 4 of 4</w:t>
      </w:r>
    </w:p>
    <w:p>
      <w:pPr>
        <w:sectPr>
          <w:pgSz w:w="11900" w:h="16838" w:orient="portrait"/>
          <w:cols w:equalWidth="0" w:num="1">
            <w:col w:w="11080"/>
          </w:cols>
          <w:pgMar w:left="480" w:top="144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71120</wp:posOffset>
            </wp:positionV>
            <wp:extent cx="1645920" cy="6261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7">
                      <a:extLst>
                        <a:ext uri="{28A0092B-C50C-407E-A947-70E740481C1C}"/>
                      </a:extLst>
                    </a:blip>
                    <a:srcRect/>
                    <a:stretch>
                      <a:fillRect/>
                    </a:stretch>
                  </pic:blipFill>
                  <pic:spPr bwMode="auto">
                    <a:xfrm>
                      <a:off x="0" y="0"/>
                      <a:ext cx="16459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00"/>
        <w:spacing w:after="0" w:line="286" w:lineRule="auto"/>
        <w:rPr>
          <w:sz w:val="20"/>
          <w:szCs w:val="20"/>
          <w:color w:val="auto"/>
        </w:rPr>
      </w:pPr>
      <w:r>
        <w:rPr>
          <w:rFonts w:ascii="Times New Roman" w:cs="Times New Roman" w:eastAsia="Times New Roman" w:hAnsi="Times New Roman"/>
          <w:sz w:val="21"/>
          <w:szCs w:val="21"/>
          <w:b w:val="1"/>
          <w:bCs w:val="1"/>
          <w:color w:val="auto"/>
        </w:rPr>
        <w:t>CERTAIN INFORMATION HAS BEEN OMITTED OR REDACTED FROM THE VERSION OF THIS EXHIBIT FILED WITH THE SECURITIES AND EXCHANGE COMMISSION TO PROTECT PERSONAL PRIVACY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10,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Via email: [REDACTED]</w:t>
      </w:r>
    </w:p>
    <w:p>
      <w:pPr>
        <w:spacing w:after="0" w:line="219" w:lineRule="auto"/>
        <w:rPr>
          <w:sz w:val="20"/>
          <w:szCs w:val="20"/>
          <w:color w:val="auto"/>
        </w:rPr>
      </w:pPr>
      <w:r>
        <w:rPr>
          <w:rFonts w:ascii="Times New Roman" w:cs="Times New Roman" w:eastAsia="Times New Roman" w:hAnsi="Times New Roman"/>
          <w:sz w:val="18"/>
          <w:szCs w:val="18"/>
          <w:color w:val="auto"/>
        </w:rPr>
        <w:t>Mr. Lance Berry</w:t>
      </w:r>
    </w:p>
    <w:p>
      <w:pPr>
        <w:spacing w:after="0" w:line="203" w:lineRule="auto"/>
        <w:rPr>
          <w:sz w:val="20"/>
          <w:szCs w:val="20"/>
          <w:color w:val="auto"/>
        </w:rPr>
      </w:pPr>
      <w:r>
        <w:rPr>
          <w:rFonts w:ascii="Times New Roman" w:cs="Times New Roman" w:eastAsia="Times New Roman" w:hAnsi="Times New Roman"/>
          <w:sz w:val="18"/>
          <w:szCs w:val="18"/>
          <w:color w:val="auto"/>
        </w:rPr>
        <w:t>[REDACTED]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with great pleasure that I am writing this letter to outline our offer to you to join Artivion, Inc. (“Artivion” or the “Company”) as its Chief</w:t>
      </w:r>
    </w:p>
    <w:p>
      <w:pPr>
        <w:spacing w:after="0" w:line="2"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Financial Officer, Executive Vice President, Finance, contingent upon approval by our Board of Directors and subject to successful completion of a background check. This position will report directly to me. I am excited at the prospect of you joining Artivion, and I think you will find an engaging, challenging, and rewarding career here.</w:t>
      </w:r>
    </w:p>
    <w:p>
      <w:pPr>
        <w:spacing w:after="0" w:line="199" w:lineRule="exact"/>
        <w:rPr>
          <w:sz w:val="20"/>
          <w:szCs w:val="20"/>
          <w:color w:val="auto"/>
        </w:rPr>
      </w:pPr>
    </w:p>
    <w:p>
      <w:pPr>
        <w:jc w:val="both"/>
        <w:ind w:right="200"/>
        <w:spacing w:after="0" w:line="216" w:lineRule="auto"/>
        <w:rPr>
          <w:sz w:val="20"/>
          <w:szCs w:val="20"/>
          <w:color w:val="auto"/>
        </w:rPr>
      </w:pPr>
      <w:r>
        <w:rPr>
          <w:rFonts w:ascii="Times New Roman" w:cs="Times New Roman" w:eastAsia="Times New Roman" w:hAnsi="Times New Roman"/>
          <w:sz w:val="18"/>
          <w:szCs w:val="18"/>
          <w:color w:val="auto"/>
        </w:rPr>
        <w:t>If you accept this offer of employment, I am expecting that you will join us no later than Monday, December 4, 2023. The general duties and responsibilities related to your position as Chief Financial Officer, Executive Vice President, Finance, are outlined in the enclosed position specification. As we discussed, you are expected, as soon as reasonably practicable, to relocate to the Atlanta area. We have an executive relocation</w:t>
      </w:r>
    </w:p>
    <w:p>
      <w:pPr>
        <w:spacing w:after="0" w:line="1"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8"/>
          <w:szCs w:val="18"/>
          <w:color w:val="auto"/>
        </w:rPr>
        <w:t>program, the benefits of which will be extended to you. To assist with this relocation, Artivion will additionally provide you with a sign-on bonus of $100,000, less applicable withholding taxes, that you must repay to the Company if you leave your Artivion employment within one year of your start date.</w:t>
      </w:r>
    </w:p>
    <w:p>
      <w:pPr>
        <w:spacing w:after="0" w:line="199" w:lineRule="exact"/>
        <w:rPr>
          <w:sz w:val="20"/>
          <w:szCs w:val="20"/>
          <w:color w:val="auto"/>
        </w:rPr>
      </w:pPr>
    </w:p>
    <w:p>
      <w:pPr>
        <w:jc w:val="both"/>
        <w:ind w:right="200"/>
        <w:spacing w:after="0" w:line="237" w:lineRule="auto"/>
        <w:rPr>
          <w:sz w:val="20"/>
          <w:szCs w:val="20"/>
          <w:color w:val="auto"/>
        </w:rPr>
      </w:pPr>
      <w:r>
        <w:rPr>
          <w:rFonts w:ascii="Times New Roman" w:cs="Times New Roman" w:eastAsia="Times New Roman" w:hAnsi="Times New Roman"/>
          <w:sz w:val="18"/>
          <w:szCs w:val="18"/>
          <w:color w:val="auto"/>
        </w:rPr>
        <w:t>Your total annual starting salary will be $500,000, paid in bi-weekly amounts on Fridays of $19,230.77. You will first be considered for a merit increase during the 2025 annual performance review.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immediately be eligible to participate in the Company’s Equity and Cash Incentive Plan (“ECIP”) for 2024 with respect to its cash bonus.</w:t>
      </w:r>
    </w:p>
    <w:p>
      <w:pPr>
        <w:spacing w:after="0" w:line="2" w:lineRule="exact"/>
        <w:rPr>
          <w:sz w:val="20"/>
          <w:szCs w:val="20"/>
          <w:color w:val="auto"/>
        </w:rPr>
      </w:pPr>
    </w:p>
    <w:p>
      <w:pPr>
        <w:jc w:val="both"/>
        <w:ind w:right="200"/>
        <w:spacing w:after="0" w:line="208" w:lineRule="auto"/>
        <w:rPr>
          <w:sz w:val="20"/>
          <w:szCs w:val="20"/>
          <w:color w:val="auto"/>
        </w:rPr>
      </w:pPr>
      <w:r>
        <w:rPr>
          <w:rFonts w:ascii="Times New Roman" w:cs="Times New Roman" w:eastAsia="Times New Roman" w:hAnsi="Times New Roman"/>
          <w:sz w:val="18"/>
          <w:szCs w:val="18"/>
          <w:color w:val="auto"/>
        </w:rPr>
        <w:t>Your annual cash bonus will be targeted at 60% of your base salary. Based on Company performance, you have the opportunity to earn up to 200% of this cash bonus. The annual cash bonus for 2024 is expected to be paid in March 2025 after business performance results for 2024 have been certified by the Compensation Committee of our Board of Directors. You must be employed with the Company at the time a cash bonus is paid to be entitled to</w:t>
      </w:r>
    </w:p>
    <w:p>
      <w:pPr>
        <w:spacing w:after="0" w:line="2" w:lineRule="exact"/>
        <w:rPr>
          <w:sz w:val="20"/>
          <w:szCs w:val="20"/>
          <w:color w:val="auto"/>
        </w:rPr>
      </w:pPr>
    </w:p>
    <w:p>
      <w:pPr>
        <w:jc w:val="both"/>
        <w:ind w:right="200"/>
        <w:spacing w:after="0" w:line="226" w:lineRule="auto"/>
        <w:rPr>
          <w:sz w:val="20"/>
          <w:szCs w:val="20"/>
          <w:color w:val="auto"/>
        </w:rPr>
      </w:pPr>
      <w:r>
        <w:rPr>
          <w:rFonts w:ascii="Times New Roman" w:cs="Times New Roman" w:eastAsia="Times New Roman" w:hAnsi="Times New Roman"/>
          <w:sz w:val="18"/>
          <w:szCs w:val="18"/>
          <w:color w:val="auto"/>
        </w:rPr>
        <w:t>receive that year’s cash bonus. You will also be eligible to participate in the Company’s employee benefit plans, as outlined in the attached benefits summary.</w:t>
      </w:r>
    </w:p>
    <w:p>
      <w:pPr>
        <w:spacing w:after="0" w:line="184"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In addition to the above, you are immediately eligible to be considered for an annual equity grant under the ECIP. Your target for 2024 will be approximately $1,500,000.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440" w:top="1319" w:right="339" w:bottom="1440" w:gutter="0" w:footer="0" w:header="0"/>
        </w:sectPr>
      </w:pPr>
    </w:p>
    <w:bookmarkStart w:id="150" w:name="page151"/>
    <w:bookmarkEnd w:id="150"/>
    <w:p>
      <w:pPr>
        <w:spacing w:after="0" w:line="15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The components of your 2024 target annual equity grant, split equally between Performance Share Units (“PSUs”) and Restricted Stock Units (“RSUs”), are currently anticipated as below, although all of the precise parameters of these plans will not be set until the first quarter of 2024:</w:t>
      </w:r>
    </w:p>
    <w:p>
      <w:pPr>
        <w:spacing w:after="0" w:line="215" w:lineRule="exact"/>
        <w:rPr>
          <w:sz w:val="20"/>
          <w:szCs w:val="20"/>
          <w:color w:val="auto"/>
        </w:rPr>
      </w:pPr>
    </w:p>
    <w:tbl>
      <w:tblPr>
        <w:tblLayout w:type="fixed"/>
        <w:tblInd w:w="130" w:type="dxa"/>
        <w:tblCellMar>
          <w:top w:w="0" w:type="dxa"/>
          <w:left w:w="0" w:type="dxa"/>
          <w:bottom w:w="0" w:type="dxa"/>
          <w:right w:w="0" w:type="dxa"/>
        </w:tblCellMar>
      </w:tblPr>
      <w:tr>
        <w:trPr>
          <w:trHeight w:val="194"/>
        </w:trPr>
        <w:tc>
          <w:tcPr>
            <w:tcW w:w="2120" w:type="dxa"/>
            <w:vAlign w:val="bottom"/>
            <w:tcBorders>
              <w:top w:val="single" w:sz="8" w:color="auto"/>
              <w:left w:val="single" w:sz="8" w:color="auto"/>
              <w:right w:val="single" w:sz="8" w:color="auto"/>
            </w:tcBorders>
            <w:shd w:val="clear" w:color="auto" w:fill="DBDBDB"/>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Item</w:t>
            </w:r>
          </w:p>
        </w:tc>
        <w:tc>
          <w:tcPr>
            <w:tcW w:w="2700" w:type="dxa"/>
            <w:vAlign w:val="bottom"/>
            <w:tcBorders>
              <w:top w:val="single" w:sz="8" w:color="auto"/>
              <w:right w:val="single" w:sz="8" w:color="auto"/>
            </w:tcBorders>
            <w:shd w:val="clear" w:color="auto" w:fill="DBDBDB"/>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PSUs</w:t>
            </w:r>
          </w:p>
        </w:tc>
        <w:tc>
          <w:tcPr>
            <w:tcW w:w="2480" w:type="dxa"/>
            <w:vAlign w:val="bottom"/>
            <w:tcBorders>
              <w:top w:val="single" w:sz="8" w:color="auto"/>
              <w:right w:val="single" w:sz="8" w:color="auto"/>
            </w:tcBorders>
            <w:shd w:val="clear" w:color="auto" w:fill="DBDBDB"/>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RSUs</w:t>
            </w:r>
          </w:p>
        </w:tc>
        <w:tc>
          <w:tcPr>
            <w:tcW w:w="3500" w:type="dxa"/>
            <w:vAlign w:val="bottom"/>
            <w:tcBorders>
              <w:top w:val="single" w:sz="8" w:color="auto"/>
              <w:right w:val="single" w:sz="8" w:color="auto"/>
            </w:tcBorders>
            <w:shd w:val="clear" w:color="auto" w:fill="DBDBDB"/>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Stock Options (Board does not intend at this</w:t>
            </w:r>
          </w:p>
        </w:tc>
        <w:tc>
          <w:tcPr>
            <w:tcW w:w="0" w:type="dxa"/>
            <w:vAlign w:val="bottom"/>
          </w:tcPr>
          <w:p>
            <w:pPr>
              <w:spacing w:after="0"/>
              <w:rPr>
                <w:sz w:val="1"/>
                <w:szCs w:val="1"/>
                <w:color w:val="auto"/>
              </w:rPr>
            </w:pPr>
          </w:p>
        </w:tc>
      </w:tr>
      <w:tr>
        <w:trPr>
          <w:trHeight w:val="238"/>
        </w:trPr>
        <w:tc>
          <w:tcPr>
            <w:tcW w:w="2120" w:type="dxa"/>
            <w:vAlign w:val="bottom"/>
            <w:tcBorders>
              <w:left w:val="single" w:sz="8" w:color="auto"/>
              <w:bottom w:val="single" w:sz="8" w:color="auto"/>
              <w:right w:val="single" w:sz="8" w:color="auto"/>
            </w:tcBorders>
            <w:shd w:val="clear" w:color="auto" w:fill="DBDBDB"/>
          </w:tcPr>
          <w:p>
            <w:pPr>
              <w:spacing w:after="0"/>
              <w:rPr>
                <w:sz w:val="20"/>
                <w:szCs w:val="20"/>
                <w:color w:val="auto"/>
              </w:rPr>
            </w:pPr>
          </w:p>
        </w:tc>
        <w:tc>
          <w:tcPr>
            <w:tcW w:w="2700" w:type="dxa"/>
            <w:vAlign w:val="bottom"/>
            <w:tcBorders>
              <w:bottom w:val="single" w:sz="8" w:color="auto"/>
              <w:right w:val="single" w:sz="8" w:color="auto"/>
            </w:tcBorders>
            <w:shd w:val="clear" w:color="auto" w:fill="DBDBDB"/>
          </w:tcPr>
          <w:p>
            <w:pPr>
              <w:spacing w:after="0"/>
              <w:rPr>
                <w:sz w:val="20"/>
                <w:szCs w:val="20"/>
                <w:color w:val="auto"/>
              </w:rPr>
            </w:pPr>
          </w:p>
        </w:tc>
        <w:tc>
          <w:tcPr>
            <w:tcW w:w="2480" w:type="dxa"/>
            <w:vAlign w:val="bottom"/>
            <w:tcBorders>
              <w:bottom w:val="single" w:sz="8" w:color="auto"/>
              <w:right w:val="single" w:sz="8" w:color="auto"/>
            </w:tcBorders>
            <w:shd w:val="clear" w:color="auto" w:fill="DBDBDB"/>
          </w:tcPr>
          <w:p>
            <w:pPr>
              <w:spacing w:after="0"/>
              <w:rPr>
                <w:sz w:val="20"/>
                <w:szCs w:val="20"/>
                <w:color w:val="auto"/>
              </w:rPr>
            </w:pPr>
          </w:p>
        </w:tc>
        <w:tc>
          <w:tcPr>
            <w:tcW w:w="3500" w:type="dxa"/>
            <w:vAlign w:val="bottom"/>
            <w:tcBorders>
              <w:bottom w:val="single" w:sz="8" w:color="auto"/>
              <w:right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8"/>
                <w:szCs w:val="18"/>
                <w:b w:val="1"/>
                <w:bCs w:val="1"/>
                <w:color w:val="auto"/>
              </w:rPr>
              <w:t>time to issue options for 2024)</w:t>
            </w:r>
          </w:p>
        </w:tc>
        <w:tc>
          <w:tcPr>
            <w:tcW w:w="0" w:type="dxa"/>
            <w:vAlign w:val="bottom"/>
          </w:tcPr>
          <w:p>
            <w:pPr>
              <w:spacing w:after="0"/>
              <w:rPr>
                <w:sz w:val="1"/>
                <w:szCs w:val="1"/>
                <w:color w:val="auto"/>
              </w:rPr>
            </w:pPr>
          </w:p>
        </w:tc>
      </w:tr>
      <w:tr>
        <w:trPr>
          <w:trHeight w:val="178"/>
        </w:trPr>
        <w:tc>
          <w:tcPr>
            <w:tcW w:w="21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0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[TBD, based on stock price at</w:t>
            </w:r>
          </w:p>
        </w:tc>
        <w:tc>
          <w:tcPr>
            <w:tcW w:w="24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[TBD, based on stock price at</w:t>
            </w: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issuance]</w:t>
            </w:r>
          </w:p>
        </w:tc>
        <w:tc>
          <w:tcPr>
            <w:tcW w:w="3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$750,000</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$750,000</w:t>
            </w:r>
          </w:p>
        </w:tc>
        <w:tc>
          <w:tcPr>
            <w:tcW w:w="3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Max payout</w:t>
            </w:r>
          </w:p>
        </w:tc>
        <w:tc>
          <w:tcPr>
            <w:tcW w:w="2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150%, potentially 200%</w:t>
            </w:r>
          </w:p>
        </w:tc>
        <w:tc>
          <w:tcPr>
            <w:tcW w:w="2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5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8"/>
        </w:trPr>
        <w:tc>
          <w:tcPr>
            <w:tcW w:w="2120" w:type="dxa"/>
            <w:vAlign w:val="bottom"/>
            <w:tcBorders>
              <w:left w:val="single" w:sz="8" w:color="auto"/>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Vest</w:t>
            </w:r>
          </w:p>
        </w:tc>
        <w:tc>
          <w:tcPr>
            <w:tcW w:w="270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Yr 1: 33%</w:t>
            </w:r>
          </w:p>
        </w:tc>
        <w:tc>
          <w:tcPr>
            <w:tcW w:w="248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Cliff: 3 years</w:t>
            </w:r>
          </w:p>
        </w:tc>
        <w:tc>
          <w:tcPr>
            <w:tcW w:w="350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0"/>
        </w:trPr>
        <w:tc>
          <w:tcPr>
            <w:tcW w:w="2120" w:type="dxa"/>
            <w:vAlign w:val="bottom"/>
            <w:tcBorders>
              <w:left w:val="single" w:sz="8" w:color="auto"/>
              <w:right w:val="single" w:sz="8" w:color="auto"/>
            </w:tcBorders>
          </w:tcPr>
          <w:p>
            <w:pPr>
              <w:spacing w:after="0"/>
              <w:rPr>
                <w:sz w:val="15"/>
                <w:szCs w:val="15"/>
                <w:color w:val="auto"/>
              </w:rPr>
            </w:pPr>
          </w:p>
        </w:tc>
        <w:tc>
          <w:tcPr>
            <w:tcW w:w="270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Yr 2: 33%</w:t>
            </w:r>
          </w:p>
        </w:tc>
        <w:tc>
          <w:tcPr>
            <w:tcW w:w="2480" w:type="dxa"/>
            <w:vAlign w:val="bottom"/>
            <w:tcBorders>
              <w:right w:val="single" w:sz="8" w:color="auto"/>
            </w:tcBorders>
          </w:tcPr>
          <w:p>
            <w:pPr>
              <w:spacing w:after="0"/>
              <w:rPr>
                <w:sz w:val="15"/>
                <w:szCs w:val="15"/>
                <w:color w:val="auto"/>
              </w:rPr>
            </w:pPr>
          </w:p>
        </w:tc>
        <w:tc>
          <w:tcPr>
            <w:tcW w:w="35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auto"/>
              <w:bottom w:val="single" w:sz="8" w:color="auto"/>
              <w:right w:val="single" w:sz="8" w:color="auto"/>
            </w:tcBorders>
          </w:tcPr>
          <w:p>
            <w:pPr>
              <w:spacing w:after="0"/>
              <w:rPr>
                <w:sz w:val="19"/>
                <w:szCs w:val="19"/>
                <w:color w:val="auto"/>
              </w:rPr>
            </w:pPr>
          </w:p>
        </w:tc>
        <w:tc>
          <w:tcPr>
            <w:tcW w:w="27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Yr 3: 33%</w:t>
            </w:r>
          </w:p>
        </w:tc>
        <w:tc>
          <w:tcPr>
            <w:tcW w:w="2480" w:type="dxa"/>
            <w:vAlign w:val="bottom"/>
            <w:tcBorders>
              <w:bottom w:val="single" w:sz="8" w:color="auto"/>
              <w:right w:val="single" w:sz="8" w:color="auto"/>
            </w:tcBorders>
          </w:tcPr>
          <w:p>
            <w:pPr>
              <w:spacing w:after="0"/>
              <w:rPr>
                <w:sz w:val="19"/>
                <w:szCs w:val="19"/>
                <w:color w:val="auto"/>
              </w:rPr>
            </w:pPr>
          </w:p>
        </w:tc>
        <w:tc>
          <w:tcPr>
            <w:tcW w:w="35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amount and form of equity to be awarded will be determined each year starting in 2024 by the Compensation Committee in its sole discretion.</w:t>
      </w:r>
    </w:p>
    <w:p>
      <w:pPr>
        <w:spacing w:after="0"/>
        <w:rPr>
          <w:sz w:val="20"/>
          <w:szCs w:val="20"/>
          <w:color w:val="auto"/>
        </w:rPr>
      </w:pPr>
      <w:r>
        <w:rPr>
          <w:rFonts w:ascii="Times New Roman" w:cs="Times New Roman" w:eastAsia="Times New Roman" w:hAnsi="Times New Roman"/>
          <w:sz w:val="18"/>
          <w:szCs w:val="18"/>
          <w:color w:val="auto"/>
        </w:rPr>
        <w:t>We expect that the Compensation Committee will consider annual grants of equity to the Company’s officers during its first quarter 2024 meeting.</w:t>
      </w:r>
    </w:p>
    <w:p>
      <w:pPr>
        <w:spacing w:after="0" w:line="20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to the above, as soon as reasonably practicable and pursuant to Company policies and procedures, you will be awarded a one-time sign on equity grant, valued at $1,500,000, split equally between RSUs (with a cliff vest of 3 years from date of grant) and stock options (with a vesting schedule of 1/3 each year starting on the first anniversary date of the grant date). Please note that should you leave the Company, you will forfeit any equity that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 at the time of your termination and any vest options must be exercised within ninety (90) days of your termination.</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accordance with corporate policy for all employees, this offer is contingent upon (1) your execution on your date of hire (and not before) of the enclosed Employee Proprietary Information Agreement, which contains non-compete, non-solicitation, and confidentiality obligations, among others; (2) the above-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referenced background check; and (3) final approval of our Board of Directors.</w:t>
      </w:r>
    </w:p>
    <w:p>
      <w:pPr>
        <w:spacing w:after="0" w:line="19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This offer will expire on November 15, 2023 at 5:00 p.m. ET. To accept, please sign and return this letter to Jean F. Holloway, General Counsel, at [REDACTED] no later than Wednesday, November 15, 2023 at 5:00 p.m. ET. I and the other executives, as well as the members of Artivion’s Board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look forward to working with you.</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85520" cy="480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8">
                      <a:extLst>
                        <a:ext uri="{28A0092B-C50C-407E-A947-70E740481C1C}"/>
                      </a:extLst>
                    </a:blip>
                    <a:srcRect/>
                    <a:stretch>
                      <a:fillRect/>
                    </a:stretch>
                  </pic:blipFill>
                  <pic:spPr bwMode="auto">
                    <a:xfrm>
                      <a:off x="0" y="0"/>
                      <a:ext cx="98552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 Mackin</w:t>
      </w:r>
    </w:p>
    <w:p>
      <w:pPr>
        <w:ind w:left="120"/>
        <w:spacing w:after="0"/>
        <w:rPr>
          <w:sz w:val="20"/>
          <w:szCs w:val="20"/>
          <w:color w:val="auto"/>
        </w:rPr>
      </w:pPr>
      <w:r>
        <w:rPr>
          <w:rFonts w:ascii="Times New Roman" w:cs="Times New Roman" w:eastAsia="Times New Roman" w:hAnsi="Times New Roman"/>
          <w:sz w:val="18"/>
          <w:szCs w:val="18"/>
          <w:color w:val="auto"/>
        </w:rPr>
        <w:t>Chairman, President &amp; Chief Executive Officer</w:t>
      </w:r>
    </w:p>
    <w:p>
      <w:pPr>
        <w:spacing w:after="0" w:line="200" w:lineRule="exact"/>
        <w:rPr>
          <w:sz w:val="20"/>
          <w:szCs w:val="20"/>
          <w:color w:val="auto"/>
        </w:rPr>
      </w:pPr>
    </w:p>
    <w:p>
      <w:pPr>
        <w:spacing w:after="0" w:line="302" w:lineRule="exact"/>
        <w:rPr>
          <w:sz w:val="20"/>
          <w:szCs w:val="20"/>
          <w:color w:val="auto"/>
        </w:rPr>
      </w:pPr>
    </w:p>
    <w:p>
      <w:pPr>
        <w:ind w:left="20"/>
        <w:spacing w:after="0"/>
        <w:tabs>
          <w:tab w:leader="none" w:pos="1320" w:val="left"/>
          <w:tab w:leader="none" w:pos="5000" w:val="left"/>
        </w:tabs>
        <w:rPr>
          <w:sz w:val="20"/>
          <w:szCs w:val="20"/>
          <w:color w:val="auto"/>
        </w:rPr>
      </w:pPr>
      <w:r>
        <w:rPr>
          <w:rFonts w:ascii="Times New Roman" w:cs="Times New Roman" w:eastAsia="Times New Roman" w:hAnsi="Times New Roman"/>
          <w:sz w:val="18"/>
          <w:szCs w:val="18"/>
          <w:color w:val="auto"/>
        </w:rPr>
        <w:t>Accepted:</w:t>
      </w:r>
      <w:r>
        <w:rPr>
          <w:sz w:val="20"/>
          <w:szCs w:val="20"/>
          <w:color w:val="auto"/>
        </w:rPr>
        <w:tab/>
      </w:r>
      <w:r>
        <w:rPr>
          <w:rFonts w:ascii="Times New Roman" w:cs="Times New Roman" w:eastAsia="Times New Roman" w:hAnsi="Times New Roman"/>
          <w:sz w:val="18"/>
          <w:szCs w:val="18"/>
          <w:color w:val="auto"/>
        </w:rPr>
        <w:t>/s/ Lance Berry</w:t>
      </w:r>
      <w:r>
        <w:rPr>
          <w:sz w:val="20"/>
          <w:szCs w:val="20"/>
          <w:color w:val="auto"/>
        </w:rPr>
        <w:tab/>
      </w:r>
      <w:r>
        <w:rPr>
          <w:rFonts w:ascii="Times New Roman" w:cs="Times New Roman" w:eastAsia="Times New Roman" w:hAnsi="Times New Roman"/>
          <w:sz w:val="17"/>
          <w:szCs w:val="17"/>
          <w:color w:val="auto"/>
        </w:rPr>
        <w:t>Date: 11/10/2023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17145</wp:posOffset>
            </wp:positionV>
            <wp:extent cx="44488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49">
                      <a:extLst>
                        <a:ext uri="{28A0092B-C50C-407E-A947-70E740481C1C}"/>
                      </a:extLst>
                    </a:blip>
                    <a:srcRect/>
                    <a:stretch>
                      <a:fillRect/>
                    </a:stretch>
                  </pic:blipFill>
                  <pic:spPr bwMode="auto">
                    <a:xfrm>
                      <a:off x="0" y="0"/>
                      <a:ext cx="4448810" cy="8255"/>
                    </a:xfrm>
                    <a:prstGeom prst="rect">
                      <a:avLst/>
                    </a:prstGeom>
                    <a:noFill/>
                  </pic:spPr>
                </pic:pic>
              </a:graphicData>
            </a:graphic>
          </wp:anchor>
        </w:drawing>
      </w:r>
    </w:p>
    <w:p>
      <w:pPr>
        <w:spacing w:after="0" w:line="1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Lance Berry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Enclosures: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CFO Position Description</w:t>
      </w:r>
    </w:p>
    <w:p>
      <w:pPr>
        <w:ind w:left="120"/>
        <w:spacing w:after="0" w:line="205" w:lineRule="auto"/>
        <w:rPr>
          <w:sz w:val="20"/>
          <w:szCs w:val="20"/>
          <w:color w:val="auto"/>
        </w:rPr>
      </w:pPr>
      <w:r>
        <w:rPr>
          <w:rFonts w:ascii="Times New Roman" w:cs="Times New Roman" w:eastAsia="Times New Roman" w:hAnsi="Times New Roman"/>
          <w:sz w:val="18"/>
          <w:szCs w:val="18"/>
          <w:color w:val="auto"/>
        </w:rPr>
        <w:t>2024 Benefits Summary</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 Proprietary Information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ARTIVION, INC.</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CHANGE OF CONTROL SEVERANCE AGREEMENT</w:t>
      </w:r>
    </w:p>
    <w:p>
      <w:pPr>
        <w:spacing w:after="0" w:line="396"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This Change of Control Severance Agreement (this “Agreement”) dated as of the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December, 2023 is made and entered into by and between Artivion, Inc., a Delaware corporation (“Artivion” or the “Company”) and Lance A. Berry (the “Executive”).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56"/>
        <w:spacing w:after="0" w:line="224" w:lineRule="auto"/>
        <w:tabs>
          <w:tab w:leader="none" w:pos="83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expected that the Company from time to time will consider the possibility of an acquisition by another company or other change of control. The Board of Directors of the Company (the “Board”), upon the recommendation of its Compensation Committee, has determined that it is in the best interests of the Company and its stockholders to enter into this Change of Control Agreement in order to assure that the Company will have the continued dedication of Executive, notwithstanding the possibility, threat or occurrence of a Change of Control (as defined herein) of the Company.</w:t>
      </w:r>
    </w:p>
    <w:p>
      <w:pPr>
        <w:spacing w:after="0" w:line="185" w:lineRule="exact"/>
        <w:rPr>
          <w:rFonts w:ascii="Times New Roman" w:cs="Times New Roman" w:eastAsia="Times New Roman" w:hAnsi="Times New Roman"/>
          <w:sz w:val="18"/>
          <w:szCs w:val="18"/>
          <w:color w:val="auto"/>
        </w:rPr>
      </w:pPr>
    </w:p>
    <w:p>
      <w:pPr>
        <w:ind w:firstLine="656"/>
        <w:spacing w:after="0" w:line="237" w:lineRule="auto"/>
        <w:tabs>
          <w:tab w:leader="none" w:pos="8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that it is in the best interests of the Company and its stockholders to provide Executive with an incentive to continue Executive’s employment and to motivate Executive to maximize the value of the Company upon a Change in Control for the benefit of the stockholders.</w:t>
      </w:r>
    </w:p>
    <w:p>
      <w:pPr>
        <w:spacing w:after="0" w:line="198" w:lineRule="exact"/>
        <w:rPr>
          <w:rFonts w:ascii="Times New Roman" w:cs="Times New Roman" w:eastAsia="Times New Roman" w:hAnsi="Times New Roman"/>
          <w:sz w:val="18"/>
          <w:szCs w:val="18"/>
          <w:color w:val="auto"/>
        </w:rPr>
      </w:pPr>
    </w:p>
    <w:p>
      <w:pPr>
        <w:jc w:val="both"/>
        <w:ind w:firstLine="656"/>
        <w:spacing w:after="0" w:line="226" w:lineRule="auto"/>
        <w:tabs>
          <w:tab w:leader="none" w:pos="8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it is imperative to provide Executive with certain severance benefits upon Executive’s termination of employment both prior to and following a Change in Control. These benefits will provide Executive with enhanced financial security and incentive and encouragement to remain with the Company notwithstanding the possibility of a Change in Control.</w:t>
      </w:r>
    </w:p>
    <w:p>
      <w:pPr>
        <w:spacing w:after="0" w:line="19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capitalized terms used in the Agreement are as defined below.</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contained herein, the parties hereto agree as follows:</w:t>
      </w:r>
    </w:p>
    <w:p>
      <w:pPr>
        <w:spacing w:after="0" w:line="221" w:lineRule="exact"/>
        <w:rPr>
          <w:sz w:val="20"/>
          <w:szCs w:val="20"/>
          <w:color w:val="auto"/>
        </w:rPr>
      </w:pPr>
    </w:p>
    <w:p>
      <w:pPr>
        <w:ind w:left="1020" w:hanging="364"/>
        <w:spacing w:after="0"/>
        <w:tabs>
          <w:tab w:leader="none" w:pos="10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DEFINITIONS.</w:t>
      </w:r>
    </w:p>
    <w:p>
      <w:pPr>
        <w:spacing w:after="0" w:line="215" w:lineRule="exact"/>
        <w:rPr>
          <w:rFonts w:ascii="Times New Roman" w:cs="Times New Roman" w:eastAsia="Times New Roman" w:hAnsi="Times New Roman"/>
          <w:sz w:val="18"/>
          <w:szCs w:val="18"/>
          <w:b w:val="1"/>
          <w:bCs w:val="1"/>
          <w:color w:val="auto"/>
        </w:rPr>
      </w:pPr>
    </w:p>
    <w:p>
      <w:pPr>
        <w:jc w:val="both"/>
        <w:ind w:firstLine="980"/>
        <w:spacing w:after="0" w:line="220" w:lineRule="auto"/>
        <w:tabs>
          <w:tab w:leader="none" w:pos="1293"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first date during the Change of Control Period (as defined herein) on which a Change of Control occurs. Notwithstanding anything in this Agreement to the contrary, if the Executive’s employment with the Company is Terminated by the Company without Cause or by Executive for Good Reason (as such terms are defined herein) within the six (6) month period prior to the date on which the Change of Control occurs and if such Change of Control is consummated (such a Termination of employment, an “Anticipatory Termination”), then for all purposes of this Agreement the “Effective Date” means the date immediately prior to the date of such Termination of employment.</w:t>
      </w:r>
    </w:p>
    <w:p>
      <w:pPr>
        <w:spacing w:after="0" w:line="183" w:lineRule="exact"/>
        <w:rPr>
          <w:rFonts w:ascii="Times New Roman" w:cs="Times New Roman" w:eastAsia="Times New Roman" w:hAnsi="Times New Roman"/>
          <w:sz w:val="18"/>
          <w:szCs w:val="18"/>
          <w:color w:val="auto"/>
        </w:rPr>
      </w:pPr>
    </w:p>
    <w:p>
      <w:pPr>
        <w:jc w:val="both"/>
        <w:ind w:firstLine="980"/>
        <w:spacing w:after="0" w:line="223" w:lineRule="auto"/>
        <w:tabs>
          <w:tab w:leader="none" w:pos="12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of Control Period” means the period commencing on the date hereof and ending on December 31 of the year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commencing on December 31 of the year above, and each one-year anniversary of such date (such date and each such one-year anniversary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the “Renewal Date”) unless previously terminated, the Change of Control Period shall be automatically extended so as to terminate one (1) year from such Renewal Date, unless, at least thirty (30) days prior to the next Renewal Date, the Company shall give notice to the Executive that the Change of Control Period shall not be so extended.</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Company” means any company controlled by, controlling or under common control with the Company.</w:t>
      </w:r>
    </w:p>
    <w:p>
      <w:pPr>
        <w:spacing w:after="0" w:line="211" w:lineRule="exact"/>
        <w:rPr>
          <w:rFonts w:ascii="Times New Roman" w:cs="Times New Roman" w:eastAsia="Times New Roman" w:hAnsi="Times New Roman"/>
          <w:sz w:val="18"/>
          <w:szCs w:val="18"/>
          <w:color w:val="auto"/>
        </w:rPr>
      </w:pPr>
    </w:p>
    <w:p>
      <w:pPr>
        <w:ind w:right="20" w:firstLine="980"/>
        <w:spacing w:after="0" w:line="250" w:lineRule="auto"/>
        <w:tabs>
          <w:tab w:leader="none" w:pos="129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a change in the ownership or effective control of, or in the ownership of a substantial portion of the assets of, the Company, as described in paragraphs (i) through (iii) below.</w:t>
      </w:r>
    </w:p>
    <w:p>
      <w:pPr>
        <w:spacing w:after="0" w:line="176" w:lineRule="exact"/>
        <w:rPr>
          <w:rFonts w:ascii="Times New Roman" w:cs="Times New Roman" w:eastAsia="Times New Roman" w:hAnsi="Times New Roman"/>
          <w:sz w:val="18"/>
          <w:szCs w:val="18"/>
          <w:color w:val="auto"/>
        </w:rPr>
      </w:pPr>
    </w:p>
    <w:p>
      <w:pPr>
        <w:jc w:val="both"/>
        <w:ind w:firstLine="1466"/>
        <w:spacing w:after="0" w:line="224" w:lineRule="auto"/>
        <w:tabs>
          <w:tab w:leader="none" w:pos="193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shall occur on the date that any one person, or more than one person acting as a group (within the meaning of paragraph (iv)), other than a group of which Executive is a member, acquires ownership of the Company stock that, together with the Company stock held by such person or group, constitutes more than 50% of the total voting power of the stock of the Company.</w:t>
      </w:r>
    </w:p>
    <w:p>
      <w:pPr>
        <w:spacing w:after="0" w:line="185" w:lineRule="exact"/>
        <w:rPr>
          <w:rFonts w:ascii="Times New Roman" w:cs="Times New Roman" w:eastAsia="Times New Roman" w:hAnsi="Times New Roman"/>
          <w:sz w:val="18"/>
          <w:szCs w:val="18"/>
          <w:color w:val="auto"/>
        </w:rPr>
      </w:pPr>
    </w:p>
    <w:p>
      <w:pPr>
        <w:jc w:val="both"/>
        <w:ind w:firstLine="1790"/>
        <w:spacing w:after="0" w:line="224" w:lineRule="auto"/>
        <w:tabs>
          <w:tab w:leader="none" w:pos="2585" w:val="left"/>
        </w:tabs>
        <w:numPr>
          <w:ilvl w:val="3"/>
          <w:numId w:val="76"/>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If any one person or more than one person acting as a group (within the meaning of paragraph (iv)), other than a group of which Executive is a member, is considered to own more than 50% of the total voting power of the stock of the Company, the acquisition of additional Company stock by such person or persons shall not be considered to cause a change in the ownership of the Company or to cause a change in the effective control of the Company (within the meaning of paragraph (ii) below).</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343434"/>
        </w:rPr>
        <w:t>1</w:t>
      </w:r>
    </w:p>
    <w:p>
      <w:pPr>
        <w:sectPr>
          <w:pgSz w:w="11900" w:h="16838" w:orient="portrait"/>
          <w:cols w:equalWidth="0" w:num="1">
            <w:col w:w="11240"/>
          </w:cols>
          <w:pgMar w:left="320" w:top="981" w:right="339" w:bottom="1440" w:gutter="0" w:footer="0" w:header="0"/>
          <w:type w:val="continuous"/>
        </w:sectPr>
      </w:pPr>
    </w:p>
    <w:bookmarkStart w:id="152" w:name="page153"/>
    <w:bookmarkEnd w:id="152"/>
    <w:p>
      <w:pPr>
        <w:spacing w:after="0" w:line="59" w:lineRule="exact"/>
        <w:rPr>
          <w:sz w:val="20"/>
          <w:szCs w:val="20"/>
          <w:color w:val="auto"/>
        </w:rPr>
      </w:pPr>
    </w:p>
    <w:p>
      <w:pPr>
        <w:jc w:val="both"/>
        <w:ind w:firstLine="1790"/>
        <w:spacing w:after="0" w:line="226" w:lineRule="auto"/>
        <w:tabs>
          <w:tab w:leader="none" w:pos="2589" w:val="left"/>
        </w:tabs>
        <w:numPr>
          <w:ilvl w:val="1"/>
          <w:numId w:val="77"/>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An increase in the percentage of the Company stock owned by any one person, or persons acting as a group (within the meaning of paragraph (iv)), as a result of a transaction in which the Company acquires its stock in exchange for property, shall be treated as an acquisition of stock for purposes of this paragraph (i).</w:t>
      </w:r>
    </w:p>
    <w:p>
      <w:pPr>
        <w:spacing w:after="0" w:line="198" w:lineRule="exact"/>
        <w:rPr>
          <w:rFonts w:ascii="Times New Roman" w:cs="Times New Roman" w:eastAsia="Times New Roman" w:hAnsi="Times New Roman"/>
          <w:sz w:val="18"/>
          <w:szCs w:val="18"/>
          <w:color w:val="262626"/>
        </w:rPr>
      </w:pPr>
    </w:p>
    <w:p>
      <w:pPr>
        <w:ind w:right="20" w:firstLine="1790"/>
        <w:spacing w:after="0" w:line="237" w:lineRule="auto"/>
        <w:tabs>
          <w:tab w:leader="none" w:pos="2589" w:val="left"/>
        </w:tabs>
        <w:numPr>
          <w:ilvl w:val="1"/>
          <w:numId w:val="77"/>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Except as provided in (B) above, the provisions of this paragraph (i) shall apply only to the transfer or issuance of the Company stock if such stock remains outstanding after such transfer or issuance.</w:t>
      </w:r>
    </w:p>
    <w:p>
      <w:pPr>
        <w:spacing w:after="0" w:line="185" w:lineRule="exact"/>
        <w:rPr>
          <w:rFonts w:ascii="Times New Roman" w:cs="Times New Roman" w:eastAsia="Times New Roman" w:hAnsi="Times New Roman"/>
          <w:sz w:val="18"/>
          <w:szCs w:val="18"/>
          <w:color w:val="262626"/>
        </w:rPr>
      </w:pPr>
    </w:p>
    <w:p>
      <w:pPr>
        <w:ind w:left="1920" w:hanging="454"/>
        <w:spacing w:after="0"/>
        <w:tabs>
          <w:tab w:leader="none" w:pos="19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hanging="810"/>
        <w:spacing w:after="0"/>
        <w:tabs>
          <w:tab w:leader="none" w:pos="2600" w:val="left"/>
        </w:tabs>
        <w:numPr>
          <w:ilvl w:val="1"/>
          <w:numId w:val="7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color w:val="auto"/>
        </w:rPr>
        <w:t>A change in the effective control of the Company shall occur on the date that either of (1) or (2) below occurs:</w:t>
      </w:r>
    </w:p>
    <w:p>
      <w:pPr>
        <w:spacing w:after="0" w:line="211" w:lineRule="exact"/>
        <w:rPr>
          <w:rFonts w:ascii="Times New Roman" w:cs="Times New Roman" w:eastAsia="Times New Roman" w:hAnsi="Times New Roman"/>
          <w:sz w:val="18"/>
          <w:szCs w:val="18"/>
          <w:color w:val="3A3A3A"/>
        </w:rPr>
      </w:pPr>
    </w:p>
    <w:p>
      <w:pPr>
        <w:jc w:val="both"/>
        <w:ind w:firstLine="2276"/>
        <w:spacing w:after="0" w:line="224" w:lineRule="auto"/>
        <w:tabs>
          <w:tab w:leader="none" w:pos="2586" w:val="left"/>
        </w:tabs>
        <w:numPr>
          <w:ilvl w:val="2"/>
          <w:numId w:val="78"/>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Any one person, or more than one person acting as a group (within the meaning of paragraph (iv)), other than a group of which Executive is a member, acquires (or has acquired during the twelve (12) month period ending on the date of the most recent acquisition by such person or persons) ownership of stock of the Company possessing 30% or more of the total voting power of the stock of the Company (the provisions of Sections l(d)(i) (B) and (C) above shall apply equally to this Section l(d)(ii)(A)(l); or</w:t>
      </w:r>
    </w:p>
    <w:p>
      <w:pPr>
        <w:spacing w:after="0" w:line="185" w:lineRule="exact"/>
        <w:rPr>
          <w:rFonts w:ascii="Times New Roman" w:cs="Times New Roman" w:eastAsia="Times New Roman" w:hAnsi="Times New Roman"/>
          <w:sz w:val="18"/>
          <w:szCs w:val="18"/>
          <w:color w:val="262626"/>
        </w:rPr>
      </w:pPr>
    </w:p>
    <w:p>
      <w:pPr>
        <w:ind w:firstLine="2276"/>
        <w:spacing w:after="0" w:line="250" w:lineRule="auto"/>
        <w:tabs>
          <w:tab w:leader="none" w:pos="2586" w:val="left"/>
        </w:tabs>
        <w:numPr>
          <w:ilvl w:val="2"/>
          <w:numId w:val="78"/>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A majority of the members of the Company Board of Directors are replaced during any twelve (12) month period by Directors whose appointment or election is not endorsed by a majority of the Board of Directors prior to the date of the appointment or election.</w:t>
      </w:r>
    </w:p>
    <w:p>
      <w:pPr>
        <w:spacing w:after="0" w:line="176" w:lineRule="exact"/>
        <w:rPr>
          <w:rFonts w:ascii="Times New Roman" w:cs="Times New Roman" w:eastAsia="Times New Roman" w:hAnsi="Times New Roman"/>
          <w:sz w:val="18"/>
          <w:szCs w:val="18"/>
          <w:color w:val="262626"/>
        </w:rPr>
      </w:pPr>
    </w:p>
    <w:p>
      <w:pPr>
        <w:jc w:val="both"/>
        <w:ind w:firstLine="1790"/>
        <w:spacing w:after="0" w:line="237" w:lineRule="auto"/>
        <w:tabs>
          <w:tab w:leader="none" w:pos="2589" w:val="left"/>
        </w:tabs>
        <w:numPr>
          <w:ilvl w:val="1"/>
          <w:numId w:val="7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color w:val="auto"/>
        </w:rPr>
        <w:t>A change in effective control of the Company also may occur with respect to any transaction in which either of the Company or the other entity involved in a transaction described in paragraph (iii) experiences a Change of Control event described in paragraphs (i) or (iii).</w:t>
      </w:r>
    </w:p>
    <w:p>
      <w:pPr>
        <w:spacing w:after="0" w:line="198" w:lineRule="exact"/>
        <w:rPr>
          <w:rFonts w:ascii="Times New Roman" w:cs="Times New Roman" w:eastAsia="Times New Roman" w:hAnsi="Times New Roman"/>
          <w:sz w:val="18"/>
          <w:szCs w:val="18"/>
          <w:color w:val="3A3A3A"/>
        </w:rPr>
      </w:pPr>
    </w:p>
    <w:p>
      <w:pPr>
        <w:jc w:val="both"/>
        <w:ind w:firstLine="1790"/>
        <w:spacing w:after="0" w:line="224" w:lineRule="auto"/>
        <w:tabs>
          <w:tab w:leader="none" w:pos="2589" w:val="left"/>
        </w:tabs>
        <w:numPr>
          <w:ilvl w:val="1"/>
          <w:numId w:val="78"/>
        </w:numPr>
        <w:rPr>
          <w:rFonts w:ascii="Times New Roman" w:cs="Times New Roman" w:eastAsia="Times New Roman" w:hAnsi="Times New Roman"/>
          <w:sz w:val="18"/>
          <w:szCs w:val="18"/>
          <w:color w:val="3A3A3A"/>
        </w:rPr>
      </w:pPr>
      <w:r>
        <w:rPr>
          <w:rFonts w:ascii="Times New Roman" w:cs="Times New Roman" w:eastAsia="Times New Roman" w:hAnsi="Times New Roman"/>
          <w:sz w:val="18"/>
          <w:szCs w:val="18"/>
          <w:color w:val="auto"/>
        </w:rPr>
        <w:t>If any one person, or more than one person acting as a group (within the meaning of paragraph (iv)), is considered to effectively control the Company (within the meaning of this paragraph (ii)), the acquisition of additional control of the Company by the same person or persons shall not be considered to cause a change in the effective control of the Company (or to cause a change in the ownership of the Company within the meaning of paragraph (i)).</w:t>
      </w:r>
    </w:p>
    <w:p>
      <w:pPr>
        <w:spacing w:after="0" w:line="199" w:lineRule="exact"/>
        <w:rPr>
          <w:rFonts w:ascii="Times New Roman" w:cs="Times New Roman" w:eastAsia="Times New Roman" w:hAnsi="Times New Roman"/>
          <w:sz w:val="18"/>
          <w:szCs w:val="18"/>
          <w:color w:val="3A3A3A"/>
        </w:rPr>
      </w:pPr>
    </w:p>
    <w:p>
      <w:pPr>
        <w:jc w:val="both"/>
        <w:ind w:firstLine="1466"/>
        <w:spacing w:after="0" w:line="215" w:lineRule="auto"/>
        <w:tabs>
          <w:tab w:leader="none" w:pos="1944" w:val="left"/>
        </w:tabs>
        <w:numPr>
          <w:ilvl w:val="0"/>
          <w:numId w:val="78"/>
        </w:numPr>
        <w:rPr>
          <w:rFonts w:ascii="Times New Roman" w:cs="Times New Roman" w:eastAsia="Times New Roman" w:hAnsi="Times New Roman"/>
          <w:sz w:val="20"/>
          <w:szCs w:val="20"/>
          <w:color w:val="3A3A3A"/>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shall occur on the date that any one person, or more than one person acting as a group (within the meaning of paragraph (iv)), other than a group of which Executive is a member, acquires (or has acquired during the twelve (12) month period ending on the date of the most recent acquisition by such person or persons) assets from the Company that have a total gross fair market value (within the meaning of paragraph (iii)(B)) equal to or more than 40% of the total gross fair market value of all of the assets of the Company immediately prior to such acquisition or acquisitions.</w:t>
      </w:r>
    </w:p>
    <w:p>
      <w:pPr>
        <w:spacing w:after="0" w:line="199" w:lineRule="exact"/>
        <w:rPr>
          <w:rFonts w:ascii="Times New Roman" w:cs="Times New Roman" w:eastAsia="Times New Roman" w:hAnsi="Times New Roman"/>
          <w:sz w:val="20"/>
          <w:szCs w:val="20"/>
          <w:color w:val="3A3A3A"/>
        </w:rPr>
      </w:pPr>
    </w:p>
    <w:p>
      <w:pPr>
        <w:ind w:firstLine="1790"/>
        <w:spacing w:after="0" w:line="237" w:lineRule="auto"/>
        <w:tabs>
          <w:tab w:leader="none" w:pos="2585" w:val="left"/>
        </w:tabs>
        <w:numPr>
          <w:ilvl w:val="1"/>
          <w:numId w:val="78"/>
        </w:numPr>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A transfer of the Company’s assets shall not be treated as a change in the ownership of such assets if the assets are transferred to one or more of the following:</w:t>
      </w:r>
    </w:p>
    <w:p>
      <w:pPr>
        <w:spacing w:after="0" w:line="185" w:lineRule="exact"/>
        <w:rPr>
          <w:rFonts w:ascii="Times New Roman" w:cs="Times New Roman" w:eastAsia="Times New Roman" w:hAnsi="Times New Roman"/>
          <w:sz w:val="18"/>
          <w:szCs w:val="18"/>
          <w:color w:val="2A2A2A"/>
        </w:rPr>
      </w:pPr>
    </w:p>
    <w:p>
      <w:pPr>
        <w:ind w:left="2600" w:hanging="324"/>
        <w:spacing w:after="0"/>
        <w:tabs>
          <w:tab w:leader="none" w:pos="2600" w:val="left"/>
        </w:tabs>
        <w:numPr>
          <w:ilvl w:val="2"/>
          <w:numId w:val="78"/>
        </w:numPr>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A stockholder of the Company (immediately before the asset transfer) in exchange for or with respect to Company</w:t>
      </w:r>
    </w:p>
    <w:p>
      <w:pPr>
        <w:spacing w:after="0" w:line="2" w:lineRule="exact"/>
        <w:rPr>
          <w:rFonts w:ascii="Times New Roman" w:cs="Times New Roman" w:eastAsia="Times New Roman" w:hAnsi="Times New Roman"/>
          <w:sz w:val="18"/>
          <w:szCs w:val="18"/>
          <w:color w:val="2A2A2A"/>
        </w:rPr>
      </w:pPr>
    </w:p>
    <w:p>
      <w:pPr>
        <w:spacing w:after="0"/>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stock;</w:t>
      </w:r>
    </w:p>
    <w:p>
      <w:pPr>
        <w:spacing w:after="0" w:line="191" w:lineRule="exact"/>
        <w:rPr>
          <w:rFonts w:ascii="Times New Roman" w:cs="Times New Roman" w:eastAsia="Times New Roman" w:hAnsi="Times New Roman"/>
          <w:sz w:val="18"/>
          <w:szCs w:val="18"/>
          <w:color w:val="2A2A2A"/>
        </w:rPr>
      </w:pPr>
    </w:p>
    <w:p>
      <w:pPr>
        <w:ind w:left="2600" w:hanging="324"/>
        <w:spacing w:after="0"/>
        <w:tabs>
          <w:tab w:leader="none" w:pos="2600" w:val="left"/>
        </w:tabs>
        <w:numPr>
          <w:ilvl w:val="2"/>
          <w:numId w:val="78"/>
        </w:numPr>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An entity, 50% or more of the total value or voting power of which is owned, directly or indirectly, by the Company;</w:t>
      </w:r>
    </w:p>
    <w:p>
      <w:pPr>
        <w:spacing w:after="0" w:line="211" w:lineRule="exact"/>
        <w:rPr>
          <w:rFonts w:ascii="Times New Roman" w:cs="Times New Roman" w:eastAsia="Times New Roman" w:hAnsi="Times New Roman"/>
          <w:sz w:val="18"/>
          <w:szCs w:val="18"/>
          <w:color w:val="2A2A2A"/>
        </w:rPr>
      </w:pPr>
    </w:p>
    <w:p>
      <w:pPr>
        <w:ind w:firstLine="2276"/>
        <w:spacing w:after="0" w:line="250" w:lineRule="auto"/>
        <w:tabs>
          <w:tab w:leader="none" w:pos="2586" w:val="left"/>
        </w:tabs>
        <w:numPr>
          <w:ilvl w:val="2"/>
          <w:numId w:val="78"/>
        </w:numPr>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A person, or more than one person acting as a group (within the meaning of paragraph (iv)) that owns, directly or indirectly, 50% or more of the total value or voting power of all of the outstanding stock of the Company; or</w:t>
      </w:r>
    </w:p>
    <w:p>
      <w:pPr>
        <w:spacing w:after="0" w:line="164" w:lineRule="exact"/>
        <w:rPr>
          <w:rFonts w:ascii="Times New Roman" w:cs="Times New Roman" w:eastAsia="Times New Roman" w:hAnsi="Times New Roman"/>
          <w:sz w:val="18"/>
          <w:szCs w:val="18"/>
          <w:color w:val="2A2A2A"/>
        </w:rPr>
      </w:pPr>
    </w:p>
    <w:p>
      <w:pPr>
        <w:ind w:left="2600" w:hanging="324"/>
        <w:spacing w:after="0"/>
        <w:tabs>
          <w:tab w:leader="none" w:pos="2600" w:val="left"/>
        </w:tabs>
        <w:numPr>
          <w:ilvl w:val="2"/>
          <w:numId w:val="78"/>
        </w:numPr>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An entity, at least 50% of the total value or voting power of which is owned, directly or indirectly, by a person</w:t>
      </w:r>
    </w:p>
    <w:p>
      <w:pPr>
        <w:spacing w:after="0"/>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described in paragraph (iii)(A)(3).</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paragraph (iii)(A), and except as otherwise provided herein, a person’s status is determined immediately after the transfer of</w:t>
      </w: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192" w:lineRule="exact"/>
        <w:rPr>
          <w:sz w:val="20"/>
          <w:szCs w:val="20"/>
          <w:color w:val="auto"/>
        </w:rPr>
      </w:pPr>
    </w:p>
    <w:p>
      <w:pPr>
        <w:ind w:firstLine="1790"/>
        <w:spacing w:after="0" w:line="250" w:lineRule="auto"/>
        <w:tabs>
          <w:tab w:leader="none" w:pos="2589" w:val="left"/>
        </w:tabs>
        <w:numPr>
          <w:ilvl w:val="0"/>
          <w:numId w:val="79"/>
        </w:numPr>
        <w:rPr>
          <w:rFonts w:ascii="Times New Roman" w:cs="Times New Roman" w:eastAsia="Times New Roman" w:hAnsi="Times New Roman"/>
          <w:sz w:val="18"/>
          <w:szCs w:val="18"/>
          <w:color w:val="2A2A2A"/>
        </w:rPr>
      </w:pPr>
      <w:r>
        <w:rPr>
          <w:rFonts w:ascii="Times New Roman" w:cs="Times New Roman" w:eastAsia="Times New Roman" w:hAnsi="Times New Roman"/>
          <w:sz w:val="18"/>
          <w:szCs w:val="18"/>
          <w:color w:val="auto"/>
        </w:rPr>
        <w:t>For purposes of this paragraph (iii), gross fair market value means the value of all the Company assets, or the value of the assets being disposed of, determined without regard to any liabilities associated with such assets.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43434"/>
        </w:rPr>
        <w:t>2</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72" w:lineRule="exact"/>
        <w:rPr>
          <w:sz w:val="20"/>
          <w:szCs w:val="20"/>
          <w:color w:val="auto"/>
        </w:rPr>
      </w:pPr>
    </w:p>
    <w:p>
      <w:pPr>
        <w:jc w:val="both"/>
        <w:ind w:firstLine="1466"/>
        <w:spacing w:after="0" w:line="214" w:lineRule="auto"/>
        <w:tabs>
          <w:tab w:leader="none" w:pos="1933" w:val="left"/>
        </w:tabs>
        <w:numPr>
          <w:ilvl w:val="0"/>
          <w:numId w:val="80"/>
        </w:numPr>
        <w:rPr>
          <w:rFonts w:ascii="Times New Roman" w:cs="Times New Roman" w:eastAsia="Times New Roman" w:hAnsi="Times New Roman"/>
          <w:sz w:val="20"/>
          <w:szCs w:val="20"/>
          <w:color w:val="3A3A3A"/>
        </w:rPr>
      </w:pPr>
      <w:r>
        <w:rPr>
          <w:rFonts w:ascii="Times New Roman" w:cs="Times New Roman" w:eastAsia="Times New Roman" w:hAnsi="Times New Roman"/>
          <w:sz w:val="18"/>
          <w:szCs w:val="18"/>
          <w:color w:val="auto"/>
        </w:rPr>
        <w:t>For purposes of this Section 1(d), persons shall be considered to be acting as a group if they are owners of an entity that enters into a merger, consolidation, purchase, or acquisition of assets, or similar business transaction with the Company. If a person, including an entity stockholder, owns stock in the Company and another entity with which the Company enters into a merger, consolidation, purchase, or acquisition of stock, or similar business transaction, such stockholder shall be considered to be acting as a group with the other stockholders in a corporation only to the extent of the ownership in that corporation prior to the transaction giving rise to the change and not with respect to the ownership interest in the other corporation. Persons shall not be considered to be acting as a group solely because they purchase or own stock of the Company at the same time, or as a result of the same public offering of the Company’s stock.</w:t>
      </w:r>
    </w:p>
    <w:p>
      <w:pPr>
        <w:spacing w:after="0" w:line="199" w:lineRule="exact"/>
        <w:rPr>
          <w:rFonts w:ascii="Times New Roman" w:cs="Times New Roman" w:eastAsia="Times New Roman" w:hAnsi="Times New Roman"/>
          <w:sz w:val="20"/>
          <w:szCs w:val="20"/>
          <w:color w:val="3A3A3A"/>
        </w:rPr>
      </w:pPr>
    </w:p>
    <w:p>
      <w:pPr>
        <w:jc w:val="both"/>
        <w:ind w:right="20" w:firstLine="1466"/>
        <w:spacing w:after="0" w:line="223" w:lineRule="auto"/>
        <w:tabs>
          <w:tab w:leader="none" w:pos="1932" w:val="left"/>
        </w:tabs>
        <w:numPr>
          <w:ilvl w:val="0"/>
          <w:numId w:val="80"/>
        </w:numPr>
        <w:rPr>
          <w:rFonts w:ascii="Times New Roman" w:cs="Times New Roman" w:eastAsia="Times New Roman" w:hAnsi="Times New Roman"/>
          <w:sz w:val="20"/>
          <w:szCs w:val="20"/>
          <w:color w:val="3A3A3A"/>
        </w:rPr>
      </w:pPr>
      <w:r>
        <w:rPr>
          <w:rFonts w:ascii="Times New Roman" w:cs="Times New Roman" w:eastAsia="Times New Roman" w:hAnsi="Times New Roman"/>
          <w:sz w:val="18"/>
          <w:szCs w:val="18"/>
          <w:color w:val="auto"/>
        </w:rPr>
        <w:t>Under no circumstances shall the reincorporation of the Company in a different state, or any action or inaction taken in furtherance thereof, constitute a Change of Control under this Agreement, including but not limited to efforts to end incorporation in the current state of incorporation or alterations to equity that facilitate such an event.</w:t>
      </w:r>
    </w:p>
    <w:p>
      <w:pPr>
        <w:spacing w:after="0" w:line="198" w:lineRule="exact"/>
        <w:rPr>
          <w:sz w:val="20"/>
          <w:szCs w:val="20"/>
          <w:color w:val="auto"/>
        </w:rPr>
      </w:pPr>
    </w:p>
    <w:p>
      <w:pPr>
        <w:ind w:firstLine="980"/>
        <w:spacing w:after="0" w:line="237" w:lineRule="auto"/>
        <w:tabs>
          <w:tab w:leader="none" w:pos="129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or “Termination” means a “separation from service” within the meaning of Section 409A of the Internal Revenue Code of 1986, as amended.</w:t>
      </w:r>
    </w:p>
    <w:p>
      <w:pPr>
        <w:spacing w:after="0" w:line="18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EMPLOYMENT.</w:t>
      </w:r>
    </w:p>
    <w:p>
      <w:pPr>
        <w:spacing w:after="0" w:line="229"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Executive and the Company acknowledge that the employment of the Executive by the Company is “at will,” and Executive shall have no rights under this Agreement unless Executive is Terminated by the Company without Cause or by the Executive with Good Reason during the period commencing on the Effective Date and ending on the second first anniversary of such date.</w:t>
      </w:r>
    </w:p>
    <w:p>
      <w:pPr>
        <w:spacing w:after="0" w:line="194" w:lineRule="exact"/>
        <w:rPr>
          <w:sz w:val="20"/>
          <w:szCs w:val="20"/>
          <w:color w:val="auto"/>
        </w:rPr>
      </w:pPr>
    </w:p>
    <w:p>
      <w:pPr>
        <w:ind w:left="1020" w:hanging="364"/>
        <w:spacing w:after="0"/>
        <w:tabs>
          <w:tab w:leader="none" w:pos="10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AT WILL EMPLOYMENT.</w:t>
      </w:r>
    </w:p>
    <w:p>
      <w:pPr>
        <w:spacing w:after="0" w:line="216"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terms of Executive’s at will employment, as recorded in the Employee Proprietary Information Agreement executed by the Executive and the Company, are incorporated herein.</w:t>
      </w:r>
    </w:p>
    <w:p>
      <w:pPr>
        <w:spacing w:after="0" w:line="127" w:lineRule="exact"/>
        <w:rPr>
          <w:sz w:val="20"/>
          <w:szCs w:val="20"/>
          <w:color w:val="auto"/>
        </w:rPr>
      </w:pPr>
    </w:p>
    <w:p>
      <w:pPr>
        <w:ind w:left="1020" w:hanging="364"/>
        <w:spacing w:after="0"/>
        <w:tabs>
          <w:tab w:leader="none" w:pos="10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w:t>
      </w:r>
    </w:p>
    <w:p>
      <w:pPr>
        <w:spacing w:after="0" w:line="215" w:lineRule="exact"/>
        <w:rPr>
          <w:rFonts w:ascii="Times New Roman" w:cs="Times New Roman" w:eastAsia="Times New Roman" w:hAnsi="Times New Roman"/>
          <w:sz w:val="18"/>
          <w:szCs w:val="18"/>
          <w:b w:val="1"/>
          <w:bCs w:val="1"/>
          <w:color w:val="auto"/>
        </w:rPr>
      </w:pPr>
    </w:p>
    <w:p>
      <w:pPr>
        <w:ind w:left="1400" w:hanging="420"/>
        <w:spacing w:after="0"/>
        <w:tabs>
          <w:tab w:leader="none" w:pos="14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shall mean:</w:t>
      </w:r>
    </w:p>
    <w:p>
      <w:pPr>
        <w:spacing w:after="0" w:line="211" w:lineRule="exact"/>
        <w:rPr>
          <w:rFonts w:ascii="Times New Roman" w:cs="Times New Roman" w:eastAsia="Times New Roman" w:hAnsi="Times New Roman"/>
          <w:sz w:val="18"/>
          <w:szCs w:val="18"/>
          <w:color w:val="auto"/>
        </w:rPr>
      </w:pPr>
    </w:p>
    <w:p>
      <w:pPr>
        <w:ind w:firstLine="1466"/>
        <w:spacing w:after="0" w:line="250" w:lineRule="auto"/>
        <w:tabs>
          <w:tab w:leader="none" w:pos="1689"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fraud, embezzlement, theft or any other material violation of law that occurs during or in the course of the Executive’s employment with the Company;</w:t>
      </w:r>
    </w:p>
    <w:p>
      <w:pPr>
        <w:spacing w:after="0" w:line="176" w:lineRule="exact"/>
        <w:rPr>
          <w:rFonts w:ascii="Times New Roman" w:cs="Times New Roman" w:eastAsia="Times New Roman" w:hAnsi="Times New Roman"/>
          <w:sz w:val="18"/>
          <w:szCs w:val="18"/>
          <w:color w:val="auto"/>
        </w:rPr>
      </w:pPr>
    </w:p>
    <w:p>
      <w:pPr>
        <w:ind w:left="1740" w:hanging="274"/>
        <w:spacing w:after="0"/>
        <w:tabs>
          <w:tab w:leader="none" w:pos="174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grossly negligent damage by Executive to the Company’s assets;</w:t>
      </w:r>
    </w:p>
    <w:p>
      <w:pPr>
        <w:spacing w:after="0" w:line="211" w:lineRule="exact"/>
        <w:rPr>
          <w:rFonts w:ascii="Times New Roman" w:cs="Times New Roman" w:eastAsia="Times New Roman" w:hAnsi="Times New Roman"/>
          <w:sz w:val="18"/>
          <w:szCs w:val="18"/>
          <w:color w:val="auto"/>
        </w:rPr>
      </w:pPr>
    </w:p>
    <w:p>
      <w:pPr>
        <w:ind w:left="1820" w:hanging="354"/>
        <w:spacing w:after="0"/>
        <w:tabs>
          <w:tab w:leader="none" w:pos="182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 or grossly negligent disclosure by Executive of the Company’s confidential information contrary to the Company</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w:t>
      </w:r>
    </w:p>
    <w:p>
      <w:pPr>
        <w:spacing w:after="0" w:line="191"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Executive’s obligations under this Agreement or any other Agreement with the Company;</w:t>
      </w:r>
    </w:p>
    <w:p>
      <w:pPr>
        <w:spacing w:after="0" w:line="211" w:lineRule="exact"/>
        <w:rPr>
          <w:rFonts w:ascii="Times New Roman" w:cs="Times New Roman" w:eastAsia="Times New Roman" w:hAnsi="Times New Roman"/>
          <w:sz w:val="18"/>
          <w:szCs w:val="18"/>
          <w:color w:val="auto"/>
        </w:rPr>
      </w:pPr>
    </w:p>
    <w:p>
      <w:pPr>
        <w:ind w:firstLine="1466"/>
        <w:spacing w:after="0" w:line="250" w:lineRule="auto"/>
        <w:tabs>
          <w:tab w:leader="none" w:pos="1753"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by the Executive in any activity which would constitute a breach of the Executive’s duty of loyalty or of the Executive’s assigned duties;</w:t>
      </w:r>
    </w:p>
    <w:p>
      <w:pPr>
        <w:spacing w:after="0" w:line="176" w:lineRule="exact"/>
        <w:rPr>
          <w:rFonts w:ascii="Times New Roman" w:cs="Times New Roman" w:eastAsia="Times New Roman" w:hAnsi="Times New Roman"/>
          <w:sz w:val="18"/>
          <w:szCs w:val="18"/>
          <w:color w:val="auto"/>
        </w:rPr>
      </w:pPr>
    </w:p>
    <w:p>
      <w:pPr>
        <w:ind w:left="1780" w:hanging="314"/>
        <w:spacing w:after="0"/>
        <w:tabs>
          <w:tab w:leader="none" w:pos="178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by the Executive of any of the company’s policies and procedures;</w:t>
      </w:r>
    </w:p>
    <w:p>
      <w:pPr>
        <w:spacing w:after="0" w:line="211" w:lineRule="exact"/>
        <w:rPr>
          <w:rFonts w:ascii="Times New Roman" w:cs="Times New Roman" w:eastAsia="Times New Roman" w:hAnsi="Times New Roman"/>
          <w:sz w:val="18"/>
          <w:szCs w:val="18"/>
          <w:color w:val="auto"/>
        </w:rPr>
      </w:pPr>
    </w:p>
    <w:p>
      <w:pPr>
        <w:ind w:firstLine="1466"/>
        <w:spacing w:after="0" w:line="250" w:lineRule="auto"/>
        <w:tabs>
          <w:tab w:leader="none" w:pos="2046"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failure by Executive to perform the Executive’s assigned duties (other than as a result of incapacity due to physical or mental illness); or</w:t>
      </w:r>
    </w:p>
    <w:p>
      <w:pPr>
        <w:spacing w:after="0" w:line="176" w:lineRule="exact"/>
        <w:rPr>
          <w:rFonts w:ascii="Times New Roman" w:cs="Times New Roman" w:eastAsia="Times New Roman" w:hAnsi="Times New Roman"/>
          <w:sz w:val="18"/>
          <w:szCs w:val="18"/>
          <w:color w:val="auto"/>
        </w:rPr>
      </w:pPr>
    </w:p>
    <w:p>
      <w:pPr>
        <w:ind w:left="2060" w:hanging="594"/>
        <w:spacing w:after="0"/>
        <w:tabs>
          <w:tab w:leader="none" w:pos="2060"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conduct by the Executive that is demonstrably and materially injurious to the Company, monetarily or otherwise.</w:t>
      </w:r>
    </w:p>
    <w:p>
      <w:pPr>
        <w:spacing w:after="0" w:line="211" w:lineRule="exact"/>
        <w:rPr>
          <w:rFonts w:ascii="Times New Roman" w:cs="Times New Roman" w:eastAsia="Times New Roman" w:hAnsi="Times New Roman"/>
          <w:sz w:val="18"/>
          <w:szCs w:val="18"/>
          <w:color w:val="auto"/>
        </w:rPr>
      </w:pPr>
    </w:p>
    <w:p>
      <w:pPr>
        <w:jc w:val="both"/>
        <w:ind w:firstLine="980"/>
        <w:spacing w:after="0" w:line="215" w:lineRule="auto"/>
        <w:tabs>
          <w:tab w:leader="none" w:pos="1290" w:val="left"/>
        </w:tabs>
        <w:numPr>
          <w:ilvl w:val="1"/>
          <w:numId w:val="84"/>
        </w:numPr>
        <w:rPr>
          <w:rFonts w:ascii="Times New Roman" w:cs="Times New Roman" w:eastAsia="Times New Roman" w:hAnsi="Times New Roman"/>
          <w:sz w:val="18"/>
          <w:szCs w:val="18"/>
          <w:color w:val="3B3B3B"/>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purposes of this Agreement, “Good Reason” shall mean the assignment to the Executive, without the Executive’s consent, of any duties materially inconsistent with the Executive’s position (including changes in status, offices, or titles and any change in the Executive’s reporting requirements that would cause Executive to report to an Executive who is junior in seniority to the employee to whom Executive reports), authority, duties or responsibilities, determined as of the later of the date of this Agreement or the date of any modification to Executive’s position (including status, offices, titles and reporting requirements, as described above), authority, duties or responsibilities that is agreed to by Executive, or any other action by the Company that results in a material diminution in such position, authority, duties, responsibilities or Executive’s aggregate compensation, excluding for this purpose an isolated, insubstantial and inadvertent action taken in good faith and which is remedied by the Company within thirty (30) days after receipt of notice thereof given by the Executive (each of these an “Event” for purposes of this Section 4(b)). Executive must notify the Company of any Event that constitutes Good Reason within ninety (90) days following Executive’s knowledge of the existence of such Event or such Event shall not constitute Good Reason under this Agreement.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343434"/>
        </w:rPr>
        <w:t>3</w:t>
      </w:r>
    </w:p>
    <w:p>
      <w:pPr>
        <w:sectPr>
          <w:pgSz w:w="11900" w:h="16838" w:orient="portrait"/>
          <w:cols w:equalWidth="0" w:num="1">
            <w:col w:w="11240"/>
          </w:cols>
          <w:pgMar w:left="320" w:top="1440" w:right="339" w:bottom="1440" w:gutter="0" w:footer="0" w:header="0"/>
          <w:type w:val="continuous"/>
        </w:sectPr>
      </w:pPr>
    </w:p>
    <w:bookmarkStart w:id="154" w:name="page155"/>
    <w:bookmarkEnd w:id="154"/>
    <w:p>
      <w:pPr>
        <w:spacing w:after="0" w:line="302" w:lineRule="exact"/>
        <w:rPr>
          <w:sz w:val="20"/>
          <w:szCs w:val="20"/>
          <w:color w:val="auto"/>
        </w:rPr>
      </w:pPr>
    </w:p>
    <w:p>
      <w:pPr>
        <w:jc w:val="both"/>
        <w:ind w:firstLine="980"/>
        <w:spacing w:after="0" w:line="214" w:lineRule="auto"/>
        <w:tabs>
          <w:tab w:leader="none" w:pos="1293" w:val="left"/>
        </w:tabs>
        <w:numPr>
          <w:ilvl w:val="2"/>
          <w:numId w:val="85"/>
        </w:numPr>
        <w:rPr>
          <w:rFonts w:ascii="Times New Roman" w:cs="Times New Roman" w:eastAsia="Times New Roman" w:hAnsi="Times New Roman"/>
          <w:sz w:val="18"/>
          <w:szCs w:val="18"/>
          <w:color w:val="3B3B3B"/>
        </w:rPr>
      </w:pP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xml:space="preserve">. Any Termination by the Company for Cause, or by the Executive for Good Reason, shall be communicated by Notice of Termination to the other party hereto given in accordance with Section 11(c)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specifies the termination date (which date shall not be more than thirty (30) days after the giving of such notice;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Executive is terminating for Good Reason such date shall not be less than thirty (30) nor more than forty-five (45) days after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201" w:lineRule="exact"/>
        <w:rPr>
          <w:rFonts w:ascii="Times New Roman" w:cs="Times New Roman" w:eastAsia="Times New Roman" w:hAnsi="Times New Roman"/>
          <w:sz w:val="18"/>
          <w:szCs w:val="18"/>
          <w:color w:val="3B3B3B"/>
        </w:rPr>
      </w:pPr>
    </w:p>
    <w:p>
      <w:pPr>
        <w:jc w:val="both"/>
        <w:ind w:firstLine="980"/>
        <w:spacing w:after="0" w:line="224" w:lineRule="auto"/>
        <w:tabs>
          <w:tab w:leader="none" w:pos="1290" w:val="left"/>
        </w:tabs>
        <w:numPr>
          <w:ilvl w:val="2"/>
          <w:numId w:val="85"/>
        </w:numPr>
        <w:rPr>
          <w:rFonts w:ascii="Times New Roman" w:cs="Times New Roman" w:eastAsia="Times New Roman" w:hAnsi="Times New Roman"/>
          <w:sz w:val="18"/>
          <w:szCs w:val="18"/>
          <w:color w:val="3B3B3B"/>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“Date of Termination” means the date of receipt of the Notice of Termination, or any later date specified therein, as the case may be. The Company and the Executive shall take all steps necessary (including with regard to any post-Termination services by the Executive) to ensure that any Termination described in this Section 4 constitutes a “separation from service” within the meaning of Section 409A of the Code, and notwithstanding anything contained herein to the contrary, the date on which the separation from service takes place shall be the “Date of Termination.”</w:t>
      </w:r>
    </w:p>
    <w:p>
      <w:pPr>
        <w:spacing w:after="0" w:line="185" w:lineRule="exact"/>
        <w:rPr>
          <w:rFonts w:ascii="Times New Roman" w:cs="Times New Roman" w:eastAsia="Times New Roman" w:hAnsi="Times New Roman"/>
          <w:sz w:val="18"/>
          <w:szCs w:val="18"/>
          <w:color w:val="3B3B3B"/>
        </w:rPr>
      </w:pPr>
    </w:p>
    <w:p>
      <w:pPr>
        <w:jc w:val="both"/>
        <w:ind w:firstLine="200"/>
        <w:spacing w:after="0" w:line="217" w:lineRule="auto"/>
        <w:tabs>
          <w:tab w:leader="none" w:pos="82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Necessary to the Company’s Business</w:t>
      </w:r>
      <w:r>
        <w:rPr>
          <w:rFonts w:ascii="Times New Roman" w:cs="Times New Roman" w:eastAsia="Times New Roman" w:hAnsi="Times New Roman"/>
          <w:sz w:val="18"/>
          <w:szCs w:val="18"/>
          <w:color w:val="auto"/>
        </w:rPr>
        <w:t>. The covenants recorded in the Employee Proprietary Information Agreement executed by the Executive and the Company are incorporated herein, including but not limited to the covenant not to compete, the covenant regarding customer solicitation and interference, and the covenant regarding solicitation of employees. Officer covenants and agrees that the payment of any Severance Payment (as defined in Section 5(b) below) shall be subject to and expressly conditioned upon Officer’s compliance with the covenants set forth in the Employee Proprietary Information Agreement, which have been incorporated herein. Should Officer fail to comply with these covenants, the Company shall not be required to make the Severance Payment (or any portion of the Severance Payment that remains unpaid), and the Officer shall be required to repay any portion of the Severance Payment that the Officer has already received from the Company.</w:t>
      </w:r>
    </w:p>
    <w:p>
      <w:pPr>
        <w:spacing w:after="0" w:line="184"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COMPANY UPON TERMINATION.</w:t>
      </w:r>
    </w:p>
    <w:p>
      <w:pPr>
        <w:spacing w:after="0" w:line="215" w:lineRule="exact"/>
        <w:rPr>
          <w:rFonts w:ascii="Times New Roman" w:cs="Times New Roman" w:eastAsia="Times New Roman" w:hAnsi="Times New Roman"/>
          <w:sz w:val="18"/>
          <w:szCs w:val="18"/>
          <w:b w:val="1"/>
          <w:bCs w:val="1"/>
          <w:color w:val="auto"/>
        </w:rPr>
      </w:pPr>
    </w:p>
    <w:p>
      <w:pPr>
        <w:jc w:val="both"/>
        <w:ind w:firstLine="980"/>
        <w:spacing w:after="0" w:line="231" w:lineRule="auto"/>
        <w:tabs>
          <w:tab w:leader="none" w:pos="1293"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two (2) year period commencing on the Effective Date and ending on the second anniversary of the Effective Date, (i) the Company shall Terminate the Executive’s employment without Cause, or (ii) the Executive shall Terminate employment for Good Reason, then the Company shall pay to Executive the Severance Payment (defined below).</w:t>
      </w:r>
    </w:p>
    <w:p>
      <w:pPr>
        <w:spacing w:after="0" w:line="185" w:lineRule="exact"/>
        <w:rPr>
          <w:rFonts w:ascii="Times New Roman" w:cs="Times New Roman" w:eastAsia="Times New Roman" w:hAnsi="Times New Roman"/>
          <w:sz w:val="18"/>
          <w:szCs w:val="18"/>
          <w:color w:val="auto"/>
        </w:rPr>
      </w:pPr>
    </w:p>
    <w:p>
      <w:pPr>
        <w:jc w:val="both"/>
        <w:ind w:firstLine="980"/>
        <w:spacing w:after="0" w:line="215" w:lineRule="auto"/>
        <w:tabs>
          <w:tab w:leader="none" w:pos="129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an amount equal to one and one-half (1.5) times the aggregate of Executive’s base salary as of the Date of Termination and cash bonus compensation for the year in which the Termination of employment occurs. For purposes of determining Executive’s cash bonus compensation for purposes of this Section 5(b), if the Date of Termination occurs before the awarding of bonuses for the year in which the Date of Termination occurs, the cash bonus compensation component of the Severance Payment shall be computed based on Executive’s most recent awarded cash bonus. Cash bonus compensation shall include only the annual bonus paid in cash and shall specifically exclude the value of any non-cash bonuses, such as options or restricted stock. The Severance Payment, if determined to be due and owing and not previously released, shall be off-set by any amounts previously paid to the Executive as severance, notice pay, or consulting fees paid in connection with or as a result of an Anticipatory Termination. For the sake of clarification, all cash paid in payment of all or a portion of the bonus pursuant to the Company’s 2007 Executive Incentive Plan or any successor thereto shall be bonus compensation for purposes of this Agreement for the year in which paid or issued. The Severance Payment shall be payable to Executive as follows:</w:t>
      </w:r>
    </w:p>
    <w:p>
      <w:pPr>
        <w:spacing w:after="0" w:line="197" w:lineRule="exact"/>
        <w:rPr>
          <w:rFonts w:ascii="Times New Roman" w:cs="Times New Roman" w:eastAsia="Times New Roman" w:hAnsi="Times New Roman"/>
          <w:sz w:val="18"/>
          <w:szCs w:val="18"/>
          <w:color w:val="auto"/>
        </w:rPr>
      </w:pPr>
    </w:p>
    <w:p>
      <w:pPr>
        <w:jc w:val="both"/>
        <w:ind w:firstLine="1466"/>
        <w:spacing w:after="0" w:line="226" w:lineRule="auto"/>
        <w:tabs>
          <w:tab w:leader="none" w:pos="1938" w:val="left"/>
        </w:tabs>
        <w:numPr>
          <w:ilvl w:val="3"/>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Except for the group health plan benefits payments or as otherwise provided herein, the Severance Payment, if any is due hereunder, shall be paid to Executive in a lump sum not later than thirty (30) days following Executive’s Date of Termination, unless the Termination is an Anticipatory Termination.</w:t>
      </w:r>
    </w:p>
    <w:p>
      <w:pPr>
        <w:spacing w:after="0" w:line="198" w:lineRule="exact"/>
        <w:rPr>
          <w:rFonts w:ascii="Times New Roman" w:cs="Times New Roman" w:eastAsia="Times New Roman" w:hAnsi="Times New Roman"/>
          <w:sz w:val="18"/>
          <w:szCs w:val="18"/>
          <w:color w:val="333333"/>
        </w:rPr>
      </w:pPr>
    </w:p>
    <w:p>
      <w:pPr>
        <w:ind w:firstLine="1466"/>
        <w:spacing w:after="0" w:line="237" w:lineRule="auto"/>
        <w:tabs>
          <w:tab w:leader="none" w:pos="1934" w:val="left"/>
        </w:tabs>
        <w:numPr>
          <w:ilvl w:val="3"/>
          <w:numId w:val="86"/>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In the event of an Anticipatory Termination, the Severance Payment, except for the group health plan benefits payments, shall be paid to Executive in a lump sum not later than thirty (30) days following the date of the Change of Control.</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43434"/>
        </w:rPr>
        <w:t>4</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59" w:lineRule="exact"/>
        <w:rPr>
          <w:sz w:val="20"/>
          <w:szCs w:val="20"/>
          <w:color w:val="auto"/>
        </w:rPr>
      </w:pPr>
    </w:p>
    <w:p>
      <w:pPr>
        <w:jc w:val="both"/>
        <w:ind w:firstLine="1466"/>
        <w:spacing w:after="0" w:line="210" w:lineRule="auto"/>
        <w:tabs>
          <w:tab w:leader="none" w:pos="212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any amount paid pursuant to this Section 5(b) is deferred compensation within the meaning of Section 409A of the Code and as of the Date of Termination Executive is a Specified Employee, amounts that would otherwise be payable during the six-month period immediately following the Date of Termination shall instead be paid, with interest on any delayed payment at the applicable federal rate provided for in Section 7872(f)(2)(A) of the Code, on the first business day after the date that is six months following Executive’s “separation from service” within the meaning of Section 409A of the Code (the “Delayed Payment Date”). As used in this Agreement, the term “Specified Employee” means a “specified employee” as defined in Section 409A(a)(2)(B)(i) of the Internal Revenue Code of 1986, as amended (the “Code”). By way of clarification, “specified employee” means a “key employee” (as defined in Section 416(i) of the Code, disregarding Section 416(i)(5) of the Code) of the Company. Executive shall be treated as a key employee if the Executive meets the requirement of Section 416(i)(l)(A)(i), (ii), or (iii) at any time during the twelve</w:t>
      </w:r>
    </w:p>
    <w:p>
      <w:pPr>
        <w:spacing w:after="0" w:line="2" w:lineRule="exact"/>
        <w:rPr>
          <w:rFonts w:ascii="Times New Roman" w:cs="Times New Roman" w:eastAsia="Times New Roman" w:hAnsi="Times New Roman"/>
          <w:sz w:val="18"/>
          <w:szCs w:val="18"/>
          <w:color w:val="auto"/>
        </w:rPr>
      </w:pPr>
    </w:p>
    <w:p>
      <w:pPr>
        <w:ind w:left="360" w:hanging="352"/>
        <w:spacing w:after="0" w:line="219" w:lineRule="auto"/>
        <w:tabs>
          <w:tab w:leader="none" w:pos="3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period ending on an “identification date.” For purposes of any “Specified Employee” determination hereunder, the “identification date” shall</w:t>
      </w:r>
    </w:p>
    <w:p>
      <w:pPr>
        <w:spacing w:after="0"/>
        <w:rPr>
          <w:sz w:val="20"/>
          <w:szCs w:val="20"/>
          <w:color w:val="auto"/>
        </w:rPr>
      </w:pPr>
      <w:r>
        <w:rPr>
          <w:rFonts w:ascii="Times New Roman" w:cs="Times New Roman" w:eastAsia="Times New Roman" w:hAnsi="Times New Roman"/>
          <w:sz w:val="18"/>
          <w:szCs w:val="18"/>
          <w:color w:val="auto"/>
        </w:rPr>
        <w:t>mean the last day of each calendar year.</w:t>
      </w:r>
    </w:p>
    <w:p>
      <w:pPr>
        <w:spacing w:after="0" w:line="192" w:lineRule="exact"/>
        <w:rPr>
          <w:sz w:val="20"/>
          <w:szCs w:val="20"/>
          <w:color w:val="auto"/>
        </w:rPr>
      </w:pPr>
    </w:p>
    <w:p>
      <w:pPr>
        <w:jc w:val="both"/>
        <w:ind w:firstLine="980"/>
        <w:spacing w:after="0" w:line="231" w:lineRule="auto"/>
        <w:tabs>
          <w:tab w:leader="none" w:pos="129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Medical Coverage</w:t>
      </w:r>
      <w:r>
        <w:rPr>
          <w:rFonts w:ascii="Times New Roman" w:cs="Times New Roman" w:eastAsia="Times New Roman" w:hAnsi="Times New Roman"/>
          <w:sz w:val="18"/>
          <w:szCs w:val="18"/>
          <w:color w:val="auto"/>
        </w:rPr>
        <w:t>. In addition, group health plan coverage for the Executive and covered dependents, with the same contribution by the Executive, will be provided as part of the Severance Payment for the lesser of eighteen (18) months following the Date of Termination or until the Executive is provided comparable benefits by another employer.</w:t>
      </w:r>
    </w:p>
    <w:p>
      <w:pPr>
        <w:spacing w:after="0" w:line="185" w:lineRule="exact"/>
        <w:rPr>
          <w:rFonts w:ascii="Times New Roman" w:cs="Times New Roman" w:eastAsia="Times New Roman" w:hAnsi="Times New Roman"/>
          <w:sz w:val="18"/>
          <w:szCs w:val="18"/>
          <w:color w:val="auto"/>
        </w:rPr>
      </w:pPr>
    </w:p>
    <w:p>
      <w:pPr>
        <w:jc w:val="both"/>
        <w:ind w:firstLine="980"/>
        <w:spacing w:after="0" w:line="214" w:lineRule="auto"/>
        <w:tabs>
          <w:tab w:leader="none" w:pos="129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Release of Claims</w:t>
      </w:r>
      <w:r>
        <w:rPr>
          <w:rFonts w:ascii="Times New Roman" w:cs="Times New Roman" w:eastAsia="Times New Roman" w:hAnsi="Times New Roman"/>
          <w:sz w:val="18"/>
          <w:szCs w:val="18"/>
          <w:color w:val="auto"/>
        </w:rPr>
        <w:t>. The receipt of any Severance Payment pursuant to this Agreement will be subject to the Executive signing and not revoking a separation agreement and release of claims in a form provided by the Company (the “Release”), which may include restatements of covenants contained in the Employee Proprietary Information Agreement among others, and provided that such Release becomes effective and irrevocable no later than sixty (60) days following the termination date (such deadline, the “Release Deadline”). If the Release does not become effective and irrevocable by the Release Deadline, Executive will forfeit any rights to severance under this Agreement. In no event will any Severance Payment be paid or provided until the Release becomes effective and irrevocable. Except as required by Section 5(b)(iii), any Severance Payment that would have been made to Executive prior to the Release becoming effective and irrevocable but for the preceding sentence will be paid to Executive on the first regularly scheduled Company payroll date following the date the Release becomes effective and irrevocable, and any remaining payments will be made as provided in the Agreement.</w:t>
      </w:r>
    </w:p>
    <w:p>
      <w:pPr>
        <w:spacing w:after="0" w:line="19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SETTLEMENT.</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 agrees to pay, to the full extent permitted by law, all legal fees and expenses which the Executive may reasonably incur as a result of any contest by the Company or Executive with respect to liability under or the interpretation of the validity or enforceability of, any provision of this Agreement, but only in the event and to the extent that (i) the Executive receives a final, non-appealable judgment in his favor in any such action 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receives a final judgment in his favor that has not been appealed by the Company within thirty (30) days of the date of the judgment; or (ii) the parties agree to dismiss any such action upon the Company’s payment of the sums allegedly due to the Executive or performance of the covenants by the Company allegedly breached by it.</w:t>
      </w:r>
    </w:p>
    <w:p>
      <w:pPr>
        <w:spacing w:after="0" w:line="195" w:lineRule="exact"/>
        <w:rPr>
          <w:sz w:val="20"/>
          <w:szCs w:val="20"/>
          <w:color w:val="auto"/>
        </w:rPr>
      </w:pPr>
    </w:p>
    <w:p>
      <w:pPr>
        <w:ind w:left="1020" w:hanging="364"/>
        <w:spacing w:after="0"/>
        <w:tabs>
          <w:tab w:leader="none" w:pos="10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CUT-BACK.</w:t>
      </w:r>
    </w:p>
    <w:p>
      <w:pPr>
        <w:spacing w:after="0" w:line="215" w:lineRule="exact"/>
        <w:rPr>
          <w:rFonts w:ascii="Times New Roman" w:cs="Times New Roman" w:eastAsia="Times New Roman" w:hAnsi="Times New Roman"/>
          <w:sz w:val="18"/>
          <w:szCs w:val="18"/>
          <w:b w:val="1"/>
          <w:bCs w:val="1"/>
          <w:color w:val="auto"/>
        </w:rPr>
      </w:pPr>
    </w:p>
    <w:p>
      <w:pPr>
        <w:jc w:val="both"/>
        <w:ind w:firstLine="980"/>
        <w:spacing w:after="0" w:line="213" w:lineRule="auto"/>
        <w:tabs>
          <w:tab w:leader="none" w:pos="1293" w:val="left"/>
        </w:tabs>
        <w:numPr>
          <w:ilvl w:val="1"/>
          <w:numId w:val="91"/>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Notwithstanding anything to the contrary contained herein, the Company will not pay to Executive any excise tax gross up pursuant to this Agreement or any other agreement between Executive and the Company. Further notwithstanding anything to the contrary contained herein, the Company shall reduce any payment contingent on a Change of Control pursuant to any plan, agreement, or arrangement of the Company that would be considered in determining whether a “parachute payment” (as defined in Section 280G (“Section 280G”) of the Code), has occurred (“Change of Control Severance Payment”) to 2.99 times Employee’s average compensation, as indicated on such Employee’s Form W-2, for the five (5) years ending immediately prior to the year containing the date of the Change of Control (the “Safe Harbor Amount”) if, and only if, reducing the Change of Control Severance Payment would provide Executive with a greater net after-tax Change of Control Severance Payment than would be the case if no such reduction took place. The Safe Harbor Amount, as defined herein, is an amount expressed in present value which maximizes the aggregate present value of the Change of Control Severance Payment without causing the Change of Control Severance Payment to be subject to the excise tax under Section 4999 (and related Section 280G) of the Code (the “Excise Tax”), determined in accordance with Section 280G(d)(4). Any reduction in the Change of Control Severance Payment shall be implemented in accordance with Section 7(b).</w:t>
      </w:r>
    </w:p>
    <w:p>
      <w:pPr>
        <w:spacing w:after="0" w:line="206" w:lineRule="exact"/>
        <w:rPr>
          <w:rFonts w:ascii="Times New Roman" w:cs="Times New Roman" w:eastAsia="Times New Roman" w:hAnsi="Times New Roman"/>
          <w:sz w:val="18"/>
          <w:szCs w:val="18"/>
          <w:color w:val="262626"/>
        </w:rPr>
      </w:pPr>
    </w:p>
    <w:p>
      <w:pPr>
        <w:jc w:val="both"/>
        <w:ind w:firstLine="980"/>
        <w:spacing w:after="0" w:line="224" w:lineRule="auto"/>
        <w:tabs>
          <w:tab w:leader="none" w:pos="1290" w:val="left"/>
        </w:tabs>
        <w:numPr>
          <w:ilvl w:val="1"/>
          <w:numId w:val="91"/>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 xml:space="preserve">(i) Any reduction in payments pursuant to Section 7(a) shall apply so as to minimize the amount of compensation that is reduced (i.e., it applies to payments that to the greatest extent represent parachute payments),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no reduction shall be applied to an amount that constitutes a deferral of compensation under Section 409A except for amounts that have become payable at the time of the reduction and as to which the reduction will not result in a non-reduction in a corresponding amount that is a deferral of compensation under Section 409A that is not currently payable.</w:t>
      </w:r>
    </w:p>
    <w:p>
      <w:pPr>
        <w:spacing w:after="0" w:line="174" w:lineRule="exact"/>
        <w:rPr>
          <w:rFonts w:ascii="Times New Roman" w:cs="Times New Roman" w:eastAsia="Times New Roman" w:hAnsi="Times New Roman"/>
          <w:sz w:val="18"/>
          <w:szCs w:val="18"/>
          <w:color w:val="262626"/>
        </w:rPr>
      </w:pPr>
    </w:p>
    <w:p>
      <w:pPr>
        <w:ind w:left="1880" w:hanging="414"/>
        <w:spacing w:after="0"/>
        <w:tabs>
          <w:tab w:leader="none" w:pos="188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Change of Control Severance Payment will be subject to the Excise Tax and the amount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such Excise Tax: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43434"/>
        </w:rPr>
        <w:t>5</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47" w:lineRule="exact"/>
        <w:rPr>
          <w:sz w:val="20"/>
          <w:szCs w:val="20"/>
          <w:color w:val="auto"/>
        </w:rPr>
      </w:pPr>
    </w:p>
    <w:p>
      <w:pPr>
        <w:ind w:left="2220" w:hanging="430"/>
        <w:spacing w:after="0"/>
        <w:tabs>
          <w:tab w:leader="none" w:pos="2220" w:val="left"/>
        </w:tabs>
        <w:numPr>
          <w:ilvl w:val="4"/>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Severance Payment shall be treated as a “parachute payment” within the meaning of Section 280G(b)</w:t>
      </w:r>
    </w:p>
    <w:p>
      <w:pPr>
        <w:jc w:val="both"/>
        <w:spacing w:after="0" w:line="21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and if it is an “excess parachute payment” within the meaning of Section 280G(b)(l), it shall be treated as subject to the Excise Tax, unless, and except to the extent that, in the written opinion of independent compensation consultants, counsel or auditors of nationally recognized standing (“Independent Advisors”) selected by the Company and reasonably acceptable to Executive, the Change of Control Severance Payment (in whole or in part) does not constitute a parachute payment, or such excess parachute payment (in whole or in part) represents reasonable compensation for services actually rendered within the meaning of Section 280G(b)(4) in excess of the base amount within the meaning of Section 280G(b)(3) or are otherwise not subject to the Excise Tax.</w:t>
      </w:r>
    </w:p>
    <w:p>
      <w:pPr>
        <w:spacing w:after="0" w:line="185" w:lineRule="exact"/>
        <w:rPr>
          <w:rFonts w:ascii="Times New Roman" w:cs="Times New Roman" w:eastAsia="Times New Roman" w:hAnsi="Times New Roman"/>
          <w:sz w:val="18"/>
          <w:szCs w:val="18"/>
          <w:color w:val="auto"/>
        </w:rPr>
      </w:pPr>
    </w:p>
    <w:p>
      <w:pPr>
        <w:ind w:firstLine="1790"/>
        <w:spacing w:after="0" w:line="237" w:lineRule="auto"/>
        <w:tabs>
          <w:tab w:leader="none" w:pos="2234" w:val="left"/>
        </w:tabs>
        <w:numPr>
          <w:ilvl w:val="4"/>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any non-cash benefits or any deferred payment or benefit shall be determined by the Independent Advisors in accordance with the principles of Sections 280G(d)(3) and (4).</w:t>
      </w:r>
    </w:p>
    <w:p>
      <w:pPr>
        <w:spacing w:after="0" w:line="198" w:lineRule="exact"/>
        <w:rPr>
          <w:rFonts w:ascii="Times New Roman" w:cs="Times New Roman" w:eastAsia="Times New Roman" w:hAnsi="Times New Roman"/>
          <w:sz w:val="18"/>
          <w:szCs w:val="18"/>
          <w:color w:val="auto"/>
        </w:rPr>
      </w:pPr>
    </w:p>
    <w:p>
      <w:pPr>
        <w:jc w:val="both"/>
        <w:ind w:firstLine="1385"/>
        <w:spacing w:after="0" w:line="217" w:lineRule="auto"/>
        <w:tabs>
          <w:tab w:leader="none" w:pos="1944" w:val="left"/>
        </w:tabs>
        <w:numPr>
          <w:ilvl w:val="3"/>
          <w:numId w:val="9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For purposes of determining reductions in compensation pursuant to this Section 7(b), if any, Executive will be deemed (A) to pay federal income taxes at the applicable rates of federal income taxation for the calendar year in which the compensation would be payable; and (B) to pay any applicable state and local income taxes at the applicable rates of taxation for the calendar year in which the compensation would be payable, taking into account any effect on federal income taxes from payment of state and local income taxes. Compensation will be adjusted not later than the applicable deadline under Section 409A to provide for accurate payments under the cut-back provision of this Section 7(b), but after any such deadline no further adjustment will be made if it would result in a tax penalty under Section 409A.</w:t>
      </w:r>
    </w:p>
    <w:p>
      <w:pPr>
        <w:spacing w:after="0" w:line="200" w:lineRule="exact"/>
        <w:rPr>
          <w:rFonts w:ascii="Times New Roman" w:cs="Times New Roman" w:eastAsia="Times New Roman" w:hAnsi="Times New Roman"/>
          <w:sz w:val="18"/>
          <w:szCs w:val="18"/>
          <w:color w:val="333333"/>
        </w:rPr>
      </w:pPr>
    </w:p>
    <w:p>
      <w:pPr>
        <w:jc w:val="both"/>
        <w:ind w:firstLine="980"/>
        <w:spacing w:after="0" w:line="215" w:lineRule="auto"/>
        <w:tabs>
          <w:tab w:leader="none" w:pos="1293" w:val="left"/>
        </w:tabs>
        <w:numPr>
          <w:ilvl w:val="2"/>
          <w:numId w:val="94"/>
        </w:numPr>
        <w:rPr>
          <w:rFonts w:ascii="Times New Roman" w:cs="Times New Roman" w:eastAsia="Times New Roman" w:hAnsi="Times New Roman"/>
          <w:sz w:val="18"/>
          <w:szCs w:val="18"/>
          <w:color w:val="262626"/>
        </w:rPr>
      </w:pPr>
      <w:r>
        <w:rPr>
          <w:rFonts w:ascii="Times New Roman" w:cs="Times New Roman" w:eastAsia="Times New Roman" w:hAnsi="Times New Roman"/>
          <w:sz w:val="18"/>
          <w:szCs w:val="18"/>
          <w:color w:val="auto"/>
        </w:rPr>
        <w:t>Furthermore, notwithstanding anything in this Agreement to the contrary, aggregate Severance Payments, separation payments and/or similar payments made to Executive pursuant to this Agreement and otherwise shall be limited to the equivalent of Executive’s salary paid during the three</w:t>
      </w:r>
    </w:p>
    <w:p>
      <w:pPr>
        <w:ind w:left="260" w:hanging="252"/>
        <w:spacing w:after="0"/>
        <w:tabs>
          <w:tab w:leader="none" w:pos="2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fiscal years ended prior to the Date of Termination, including any bonuses and guaranteed benefits paid during those years.</w:t>
      </w:r>
    </w:p>
    <w:p>
      <w:pPr>
        <w:spacing w:after="0" w:line="20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 INFORMATION.</w:t>
      </w:r>
    </w:p>
    <w:p>
      <w:pPr>
        <w:spacing w:after="0" w:line="21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Executive and the Company will also be parties to one or more separate agreements respecting confidential information, trade secrets, inventions and non-competition, including but not limited to the Employee Proprietary Information Agreement, (collectively, the “IP Agreements”). The parties agree that the IP Agreements shall not be superseded or terminated by this Agreement and shall survive any termination of this Agreement;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provided, however, that to the extent that there is any conflict or overlap between the provisions of this Agreement and any of the IP Agreements, those provisions that provide the Company with the greatest rights and protections shall control.</w:t>
      </w:r>
    </w:p>
    <w:p>
      <w:pPr>
        <w:spacing w:after="0" w:line="180" w:lineRule="exact"/>
        <w:rPr>
          <w:sz w:val="20"/>
          <w:szCs w:val="20"/>
          <w:color w:val="auto"/>
        </w:rPr>
      </w:pPr>
    </w:p>
    <w:p>
      <w:pPr>
        <w:ind w:left="1020" w:hanging="364"/>
        <w:spacing w:after="0"/>
        <w:tabs>
          <w:tab w:leader="none" w:pos="10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rFonts w:ascii="Times New Roman" w:cs="Times New Roman" w:eastAsia="Times New Roman" w:hAnsi="Times New Roman"/>
          <w:sz w:val="18"/>
          <w:szCs w:val="18"/>
          <w:b w:val="1"/>
          <w:bCs w:val="1"/>
          <w:color w:val="auto"/>
        </w:rPr>
      </w:pPr>
    </w:p>
    <w:p>
      <w:pPr>
        <w:jc w:val="both"/>
        <w:ind w:firstLine="980"/>
        <w:spacing w:after="0" w:line="226" w:lineRule="auto"/>
        <w:tabs>
          <w:tab w:leader="none" w:pos="1293" w:val="left"/>
        </w:tabs>
        <w:numPr>
          <w:ilvl w:val="1"/>
          <w:numId w:val="96"/>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98" w:lineRule="exact"/>
        <w:rPr>
          <w:rFonts w:ascii="Times New Roman" w:cs="Times New Roman" w:eastAsia="Times New Roman" w:hAnsi="Times New Roman"/>
          <w:sz w:val="18"/>
          <w:szCs w:val="18"/>
          <w:color w:val="363636"/>
        </w:rPr>
      </w:pPr>
    </w:p>
    <w:p>
      <w:pPr>
        <w:ind w:left="1300" w:hanging="320"/>
        <w:spacing w:after="0"/>
        <w:tabs>
          <w:tab w:leader="none" w:pos="1300" w:val="left"/>
        </w:tabs>
        <w:numPr>
          <w:ilvl w:val="1"/>
          <w:numId w:val="96"/>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auto"/>
        </w:rPr>
        <w:t>This Agreement shall inure to the benefit of and be binding upon the Company and its successors and assigns.</w:t>
      </w:r>
    </w:p>
    <w:p>
      <w:pPr>
        <w:spacing w:after="0" w:line="211" w:lineRule="exact"/>
        <w:rPr>
          <w:rFonts w:ascii="Times New Roman" w:cs="Times New Roman" w:eastAsia="Times New Roman" w:hAnsi="Times New Roman"/>
          <w:sz w:val="18"/>
          <w:szCs w:val="18"/>
          <w:color w:val="363636"/>
        </w:rPr>
      </w:pPr>
    </w:p>
    <w:p>
      <w:pPr>
        <w:jc w:val="both"/>
        <w:ind w:firstLine="980"/>
        <w:spacing w:after="0" w:line="220" w:lineRule="auto"/>
        <w:tabs>
          <w:tab w:leader="none" w:pos="1293" w:val="left"/>
        </w:tabs>
        <w:numPr>
          <w:ilvl w:val="1"/>
          <w:numId w:val="96"/>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“the Company” shall mean Artivion as hereinbefore defined and any successor to its business and/or assets as aforesaid which assumes and agrees to perform this Agreement by operation of law, or otherwise.</w:t>
      </w:r>
    </w:p>
    <w:p>
      <w:pPr>
        <w:spacing w:after="0" w:line="194" w:lineRule="exact"/>
        <w:rPr>
          <w:rFonts w:ascii="Times New Roman" w:cs="Times New Roman" w:eastAsia="Times New Roman" w:hAnsi="Times New Roman"/>
          <w:sz w:val="18"/>
          <w:szCs w:val="18"/>
          <w:color w:val="363636"/>
        </w:rPr>
      </w:pPr>
    </w:p>
    <w:p>
      <w:pPr>
        <w:ind w:left="1100" w:hanging="444"/>
        <w:spacing w:after="0"/>
        <w:tabs>
          <w:tab w:leader="none" w:pos="110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WITH SECTION 409A.</w:t>
      </w:r>
    </w:p>
    <w:p>
      <w:pPr>
        <w:spacing w:after="0" w:line="215" w:lineRule="exact"/>
        <w:rPr>
          <w:rFonts w:ascii="Times New Roman" w:cs="Times New Roman" w:eastAsia="Times New Roman" w:hAnsi="Times New Roman"/>
          <w:sz w:val="18"/>
          <w:szCs w:val="18"/>
          <w:b w:val="1"/>
          <w:bCs w:val="1"/>
          <w:color w:val="auto"/>
        </w:rPr>
      </w:pPr>
    </w:p>
    <w:p>
      <w:pPr>
        <w:ind w:right="20" w:firstLine="980"/>
        <w:spacing w:after="0" w:line="237" w:lineRule="auto"/>
        <w:tabs>
          <w:tab w:leader="none" w:pos="141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intended to comply with, or otherwise be exempt from, Section 409A of the Code and any regulations and Treasury guidance promulgated thereunder.</w:t>
      </w:r>
    </w:p>
    <w:p>
      <w:pPr>
        <w:spacing w:after="0" w:line="198" w:lineRule="exact"/>
        <w:rPr>
          <w:rFonts w:ascii="Times New Roman" w:cs="Times New Roman" w:eastAsia="Times New Roman" w:hAnsi="Times New Roman"/>
          <w:sz w:val="18"/>
          <w:szCs w:val="18"/>
          <w:color w:val="auto"/>
        </w:rPr>
      </w:pPr>
    </w:p>
    <w:p>
      <w:pPr>
        <w:ind w:firstLine="980"/>
        <w:spacing w:after="0" w:line="237" w:lineRule="auto"/>
        <w:tabs>
          <w:tab w:leader="none" w:pos="1290" w:val="left"/>
        </w:tabs>
        <w:numPr>
          <w:ilvl w:val="1"/>
          <w:numId w:val="96"/>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auto"/>
        </w:rPr>
        <w:t>The Company and Executive agree that they will execute any and all amendments to this Agreement as they mutually agree in good faith may be necessary to ensure compliance with Section 409A of the Code.</w:t>
      </w:r>
    </w:p>
    <w:p>
      <w:pPr>
        <w:spacing w:after="0" w:line="185" w:lineRule="exact"/>
        <w:rPr>
          <w:rFonts w:ascii="Times New Roman" w:cs="Times New Roman" w:eastAsia="Times New Roman" w:hAnsi="Times New Roman"/>
          <w:sz w:val="18"/>
          <w:szCs w:val="18"/>
          <w:color w:val="363636"/>
        </w:rPr>
      </w:pPr>
    </w:p>
    <w:p>
      <w:pPr>
        <w:jc w:val="both"/>
        <w:ind w:firstLine="980"/>
        <w:spacing w:after="0" w:line="223" w:lineRule="auto"/>
        <w:tabs>
          <w:tab w:leader="none" w:pos="1293" w:val="left"/>
        </w:tabs>
        <w:numPr>
          <w:ilvl w:val="1"/>
          <w:numId w:val="96"/>
        </w:numPr>
        <w:rPr>
          <w:rFonts w:ascii="Times New Roman" w:cs="Times New Roman" w:eastAsia="Times New Roman" w:hAnsi="Times New Roman"/>
          <w:sz w:val="18"/>
          <w:szCs w:val="18"/>
          <w:color w:val="363636"/>
        </w:rPr>
      </w:pPr>
      <w:r>
        <w:rPr>
          <w:rFonts w:ascii="Times New Roman" w:cs="Times New Roman" w:eastAsia="Times New Roman" w:hAnsi="Times New Roman"/>
          <w:sz w:val="18"/>
          <w:szCs w:val="18"/>
          <w:color w:val="auto"/>
        </w:rPr>
        <w:t>The Company makes no representation or warranty as to the tax effect of any of the preceding provisions, and the provisions of this Agreement shall not be construed as a guarantee by the Company of any particular tax effect to Executive under this Agreement. The Company shall not be liable to Executive or any other person for any payment made under this Agreement which is determined to result in the imposition of an excise tax, penalty or interest under Section 409A of the Code, nor for reporting in good faith any payment made under this Agreement as an amount includible in gross income under Section 409A of the Code.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343434"/>
        </w:rPr>
        <w:t>6</w:t>
      </w:r>
    </w:p>
    <w:p>
      <w:pPr>
        <w:sectPr>
          <w:pgSz w:w="11900" w:h="16838" w:orient="portrait"/>
          <w:cols w:equalWidth="0" w:num="1">
            <w:col w:w="11240"/>
          </w:cols>
          <w:pgMar w:left="320" w:top="1440" w:right="339" w:bottom="1440" w:gutter="0" w:footer="0" w:header="0"/>
          <w:type w:val="continuous"/>
        </w:sectPr>
      </w:pPr>
    </w:p>
    <w:bookmarkStart w:id="157" w:name="page158"/>
    <w:bookmarkEnd w:id="157"/>
    <w:p>
      <w:pPr>
        <w:spacing w:after="0" w:line="55" w:lineRule="exact"/>
        <w:rPr>
          <w:sz w:val="20"/>
          <w:szCs w:val="20"/>
          <w:color w:val="auto"/>
        </w:rPr>
      </w:pPr>
    </w:p>
    <w:p>
      <w:pPr>
        <w:ind w:left="1080" w:hanging="444"/>
        <w:spacing w:after="0"/>
        <w:tabs>
          <w:tab w:leader="none" w:pos="10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15" w:lineRule="exact"/>
        <w:rPr>
          <w:rFonts w:ascii="Times New Roman" w:cs="Times New Roman" w:eastAsia="Times New Roman" w:hAnsi="Times New Roman"/>
          <w:sz w:val="18"/>
          <w:szCs w:val="18"/>
          <w:b w:val="1"/>
          <w:bCs w:val="1"/>
          <w:color w:val="auto"/>
        </w:rPr>
      </w:pPr>
    </w:p>
    <w:p>
      <w:pPr>
        <w:jc w:val="both"/>
        <w:ind w:left="-20" w:firstLine="980"/>
        <w:spacing w:after="0" w:line="231" w:lineRule="auto"/>
        <w:tabs>
          <w:tab w:leader="none" w:pos="127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reference to principles of conflict of laws. Both the Executive and the Company expressly consent to the exclusive venue of and personal jurisdiction within the state and federal courts located in Delaware for any lawsuit arising from or related to this Agreement.</w:t>
      </w:r>
    </w:p>
    <w:p>
      <w:pPr>
        <w:spacing w:after="0" w:line="185" w:lineRule="exact"/>
        <w:rPr>
          <w:rFonts w:ascii="Times New Roman" w:cs="Times New Roman" w:eastAsia="Times New Roman" w:hAnsi="Times New Roman"/>
          <w:sz w:val="18"/>
          <w:szCs w:val="18"/>
          <w:color w:val="auto"/>
        </w:rPr>
      </w:pPr>
    </w:p>
    <w:p>
      <w:pPr>
        <w:ind w:left="-20" w:right="20" w:firstLine="980"/>
        <w:spacing w:after="0" w:line="237" w:lineRule="auto"/>
        <w:tabs>
          <w:tab w:leader="none" w:pos="127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of this Agreement are not part of the provisions hereof and shall have no force and effect. This Agreement may not be amended or modified otherwise than by a written agreement executed by the parties hereto or their respective successors and legal representatives.</w:t>
      </w:r>
    </w:p>
    <w:p>
      <w:pPr>
        <w:spacing w:after="0" w:line="198" w:lineRule="exact"/>
        <w:rPr>
          <w:rFonts w:ascii="Times New Roman" w:cs="Times New Roman" w:eastAsia="Times New Roman" w:hAnsi="Times New Roman"/>
          <w:sz w:val="18"/>
          <w:szCs w:val="18"/>
          <w:color w:val="auto"/>
        </w:rPr>
      </w:pPr>
    </w:p>
    <w:p>
      <w:pPr>
        <w:ind w:left="-20" w:right="20" w:firstLine="980"/>
        <w:spacing w:after="0" w:line="237" w:lineRule="auto"/>
        <w:tabs>
          <w:tab w:leader="none" w:pos="127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and other communications hereunder shall be in writing and shall be given by hand delivery (which shall include delivery via Federal Express or UPS) to the other party or by registered or certified mail, return receipt requested,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43434"/>
        </w:rPr>
        <w:t>7</w:t>
      </w:r>
    </w:p>
    <w:p>
      <w:pPr>
        <w:sectPr>
          <w:pgSz w:w="11900" w:h="16838" w:orient="portrait"/>
          <w:cols w:equalWidth="0" w:num="1">
            <w:col w:w="11220"/>
          </w:cols>
          <w:pgMar w:left="340" w:top="1440" w:right="339" w:bottom="1440" w:gutter="0" w:footer="0" w:header="0"/>
        </w:sectPr>
      </w:pPr>
    </w:p>
    <w:bookmarkStart w:id="158" w:name="page159"/>
    <w:bookmarkEnd w:id="158"/>
    <w:p>
      <w:pPr>
        <w:spacing w:after="0" w:line="5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0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Lance A. Berry</w:t>
      </w:r>
    </w:p>
    <w:p>
      <w:pPr>
        <w:ind w:left="1460"/>
        <w:spacing w:after="0" w:line="219" w:lineRule="auto"/>
        <w:rPr>
          <w:sz w:val="20"/>
          <w:szCs w:val="20"/>
          <w:color w:val="auto"/>
        </w:rPr>
      </w:pPr>
      <w:r>
        <w:rPr>
          <w:rFonts w:ascii="Times New Roman" w:cs="Times New Roman" w:eastAsia="Times New Roman" w:hAnsi="Times New Roman"/>
          <w:sz w:val="18"/>
          <w:szCs w:val="18"/>
          <w:color w:val="auto"/>
        </w:rPr>
        <w:t>1655 Roberts Boulevard, NW</w:t>
      </w:r>
    </w:p>
    <w:p>
      <w:pPr>
        <w:ind w:left="1460"/>
        <w:spacing w:after="0"/>
        <w:rPr>
          <w:sz w:val="20"/>
          <w:szCs w:val="20"/>
          <w:color w:val="auto"/>
        </w:rPr>
      </w:pPr>
      <w:r>
        <w:rPr>
          <w:rFonts w:ascii="Times New Roman" w:cs="Times New Roman" w:eastAsia="Times New Roman" w:hAnsi="Times New Roman"/>
          <w:sz w:val="18"/>
          <w:szCs w:val="18"/>
          <w:color w:val="auto"/>
        </w:rPr>
        <w:t>Kennesaw, GA 30144</w:t>
      </w:r>
    </w:p>
    <w:p>
      <w:pPr>
        <w:spacing w:after="0" w:line="19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1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Artivion, Inc.</w:t>
      </w:r>
    </w:p>
    <w:p>
      <w:pPr>
        <w:ind w:left="1460"/>
        <w:spacing w:after="0" w:line="205" w:lineRule="auto"/>
        <w:rPr>
          <w:sz w:val="20"/>
          <w:szCs w:val="20"/>
          <w:color w:val="auto"/>
        </w:rPr>
      </w:pPr>
      <w:r>
        <w:rPr>
          <w:rFonts w:ascii="Times New Roman" w:cs="Times New Roman" w:eastAsia="Times New Roman" w:hAnsi="Times New Roman"/>
          <w:sz w:val="18"/>
          <w:szCs w:val="18"/>
          <w:color w:val="auto"/>
        </w:rPr>
        <w:t>1655 Roberts Boulevard, N.W.</w:t>
      </w:r>
    </w:p>
    <w:p>
      <w:pPr>
        <w:ind w:left="1460"/>
        <w:spacing w:after="0" w:line="204" w:lineRule="auto"/>
        <w:rPr>
          <w:sz w:val="20"/>
          <w:szCs w:val="20"/>
          <w:color w:val="auto"/>
        </w:rPr>
      </w:pPr>
      <w:r>
        <w:rPr>
          <w:rFonts w:ascii="Times New Roman" w:cs="Times New Roman" w:eastAsia="Times New Roman" w:hAnsi="Times New Roman"/>
          <w:sz w:val="18"/>
          <w:szCs w:val="18"/>
          <w:color w:val="auto"/>
        </w:rPr>
        <w:t>Kennesaw, GA 30144</w:t>
      </w:r>
    </w:p>
    <w:p>
      <w:pPr>
        <w:ind w:left="146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or to such other address as either party shall have furnished to the other in writing in accordance herewith. Notice and communications shall be effective when actually received by the addressee.</w:t>
      </w:r>
    </w:p>
    <w:p>
      <w:pPr>
        <w:spacing w:after="0" w:line="185" w:lineRule="exact"/>
        <w:rPr>
          <w:sz w:val="20"/>
          <w:szCs w:val="20"/>
          <w:color w:val="auto"/>
        </w:rPr>
      </w:pPr>
    </w:p>
    <w:p>
      <w:pPr>
        <w:jc w:val="both"/>
        <w:ind w:firstLine="980"/>
        <w:spacing w:after="0" w:line="223" w:lineRule="auto"/>
        <w:tabs>
          <w:tab w:leader="none" w:pos="129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Agreement or the application of any provision hereof to any person or circumstance is held invalid, unenforceable or otherwise illegal, the remainder of this Agreement and the application of such provision to any other person or circumstance shall not be affected, and the provision so held to be invalid, unenforceable or otherwise illegal shall be reformed to the extent (and only to the extent) necessary to make it valid, enforceable and legal; provided, however, if the provision so held to be invalid, unenforceable or otherwise illegal cannot be reformed so as to be valid and enforceable, then it shall be severed from, and shall not affect the enforceability of, the remaining provisions of the Agreement.</w:t>
      </w:r>
    </w:p>
    <w:p>
      <w:pPr>
        <w:spacing w:after="0" w:line="185" w:lineRule="exact"/>
        <w:rPr>
          <w:rFonts w:ascii="Times New Roman" w:cs="Times New Roman" w:eastAsia="Times New Roman" w:hAnsi="Times New Roman"/>
          <w:sz w:val="18"/>
          <w:szCs w:val="18"/>
          <w:color w:val="auto"/>
        </w:rPr>
      </w:pPr>
    </w:p>
    <w:p>
      <w:pPr>
        <w:ind w:right="20" w:firstLine="980"/>
        <w:spacing w:after="0" w:line="237" w:lineRule="auto"/>
        <w:tabs>
          <w:tab w:leader="none" w:pos="129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withhold from any amounts payable under this Agreement such federal, state, local or foreign taxes as shall be required to be withheld pursuant to any applicable law or regulation.</w:t>
      </w:r>
    </w:p>
    <w:p>
      <w:pPr>
        <w:spacing w:after="0" w:line="198" w:lineRule="exact"/>
        <w:rPr>
          <w:rFonts w:ascii="Times New Roman" w:cs="Times New Roman" w:eastAsia="Times New Roman" w:hAnsi="Times New Roman"/>
          <w:sz w:val="18"/>
          <w:szCs w:val="18"/>
          <w:color w:val="auto"/>
        </w:rPr>
      </w:pPr>
    </w:p>
    <w:p>
      <w:pPr>
        <w:jc w:val="both"/>
        <w:ind w:firstLine="980"/>
        <w:spacing w:after="0" w:line="226" w:lineRule="auto"/>
        <w:tabs>
          <w:tab w:leader="none" w:pos="128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supersedes any Change of Control Agreements previously entered into by and between Executive and Company and, along with the Employee Proprietary Information Agreements and other agreements noted herein, embodies the entire agreement between the parties with respect to the subject matter addressed herein.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00" w:lineRule="exact"/>
        <w:rPr>
          <w:sz w:val="20"/>
          <w:szCs w:val="20"/>
          <w:color w:val="auto"/>
        </w:rPr>
      </w:pPr>
    </w:p>
    <w:p>
      <w:pPr>
        <w:spacing w:after="0" w:line="2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 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-635</wp:posOffset>
            </wp:positionV>
            <wp:extent cx="17291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0">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ind w:left="5060"/>
        <w:spacing w:after="0"/>
        <w:rPr>
          <w:sz w:val="20"/>
          <w:szCs w:val="20"/>
          <w:color w:val="auto"/>
        </w:rPr>
      </w:pPr>
      <w:r>
        <w:rPr>
          <w:rFonts w:ascii="Times New Roman" w:cs="Times New Roman" w:eastAsia="Times New Roman" w:hAnsi="Times New Roman"/>
          <w:sz w:val="18"/>
          <w:szCs w:val="18"/>
          <w:color w:val="auto"/>
        </w:rPr>
        <w:t>Lance A. Berry, Chief Financial Officer</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ARTIVION, INC.</w:t>
      </w:r>
    </w:p>
    <w:p>
      <w:pPr>
        <w:spacing w:after="0" w:line="200" w:lineRule="exact"/>
        <w:rPr>
          <w:sz w:val="20"/>
          <w:szCs w:val="20"/>
          <w:color w:val="auto"/>
        </w:rPr>
      </w:pPr>
    </w:p>
    <w:p>
      <w:pPr>
        <w:spacing w:after="0" w:line="257" w:lineRule="exact"/>
        <w:rPr>
          <w:sz w:val="20"/>
          <w:szCs w:val="20"/>
          <w:color w:val="auto"/>
        </w:rPr>
      </w:pPr>
    </w:p>
    <w:p>
      <w:pPr>
        <w:ind w:left="5140"/>
        <w:spacing w:after="0"/>
        <w:tabs>
          <w:tab w:leader="none" w:pos="5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-635</wp:posOffset>
            </wp:positionV>
            <wp:extent cx="14249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1">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ind w:left="5940"/>
        <w:spacing w:after="0" w:line="203" w:lineRule="auto"/>
        <w:rPr>
          <w:sz w:val="20"/>
          <w:szCs w:val="20"/>
          <w:color w:val="auto"/>
        </w:rPr>
      </w:pPr>
      <w:r>
        <w:rPr>
          <w:rFonts w:ascii="Times New Roman" w:cs="Times New Roman" w:eastAsia="Times New Roman" w:hAnsi="Times New Roman"/>
          <w:sz w:val="18"/>
          <w:szCs w:val="18"/>
          <w:color w:val="auto"/>
        </w:rPr>
        <w:t>J. Patrick Mackin</w:t>
      </w:r>
    </w:p>
    <w:p>
      <w:pPr>
        <w:ind w:left="5480"/>
        <w:spacing w:after="0"/>
        <w:rPr>
          <w:sz w:val="20"/>
          <w:szCs w:val="20"/>
          <w:color w:val="auto"/>
        </w:rPr>
      </w:pPr>
      <w:r>
        <w:rPr>
          <w:rFonts w:ascii="Times New Roman" w:cs="Times New Roman" w:eastAsia="Times New Roman" w:hAnsi="Times New Roman"/>
          <w:sz w:val="18"/>
          <w:szCs w:val="18"/>
          <w:color w:val="auto"/>
        </w:rPr>
        <w:t>Chairman, President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43434"/>
        </w:rPr>
        <w:t>8</w:t>
      </w:r>
    </w:p>
    <w:p>
      <w:pPr>
        <w:sectPr>
          <w:pgSz w:w="11900" w:h="16838" w:orient="portrait"/>
          <w:cols w:equalWidth="0" w:num="1">
            <w:col w:w="11240"/>
          </w:cols>
          <w:pgMar w:left="320" w:top="1440"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1645920" cy="6261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2">
                      <a:extLst>
                        <a:ext uri="{28A0092B-C50C-407E-A947-70E740481C1C}"/>
                      </a:extLst>
                    </a:blip>
                    <a:srcRect/>
                    <a:stretch>
                      <a:fillRect/>
                    </a:stretch>
                  </pic:blipFill>
                  <pic:spPr bwMode="auto">
                    <a:xfrm>
                      <a:off x="0" y="0"/>
                      <a:ext cx="164592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left="340" w:right="280"/>
        <w:spacing w:after="0" w:line="299" w:lineRule="auto"/>
        <w:rPr>
          <w:sz w:val="20"/>
          <w:szCs w:val="20"/>
          <w:color w:val="auto"/>
        </w:rPr>
      </w:pPr>
      <w:r>
        <w:rPr>
          <w:rFonts w:ascii="Times New Roman" w:cs="Times New Roman" w:eastAsia="Times New Roman" w:hAnsi="Times New Roman"/>
          <w:sz w:val="21"/>
          <w:szCs w:val="21"/>
          <w:b w:val="1"/>
          <w:bCs w:val="1"/>
          <w:color w:val="auto"/>
        </w:rPr>
        <w:t>CERTAIN INFORMATION HAS BEEN OMITTED OR REDACTED FROM THE VERSION OF THIS EXHIBIT FILED WITH THE SECURITIES AND EXCHANGE COMMISSION TO PROTECT PERSONAL PRIVACY</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Amy D. Horton</w:t>
      </w:r>
    </w:p>
    <w:p>
      <w:pPr>
        <w:spacing w:after="0" w:line="219" w:lineRule="auto"/>
        <w:rPr>
          <w:sz w:val="20"/>
          <w:szCs w:val="20"/>
          <w:color w:val="auto"/>
        </w:rPr>
      </w:pPr>
      <w:r>
        <w:rPr>
          <w:rFonts w:ascii="Times New Roman" w:cs="Times New Roman" w:eastAsia="Times New Roman" w:hAnsi="Times New Roman"/>
          <w:sz w:val="18"/>
          <w:szCs w:val="18"/>
          <w:color w:val="auto"/>
        </w:rPr>
        <w:t>[REDACTED]</w:t>
      </w:r>
    </w:p>
    <w:p>
      <w:pPr>
        <w:spacing w:after="0"/>
        <w:rPr>
          <w:sz w:val="20"/>
          <w:szCs w:val="20"/>
          <w:color w:val="auto"/>
        </w:rPr>
      </w:pPr>
      <w:r>
        <w:rPr>
          <w:rFonts w:ascii="Times New Roman" w:cs="Times New Roman" w:eastAsia="Times New Roman" w:hAnsi="Times New Roman"/>
          <w:sz w:val="18"/>
          <w:szCs w:val="18"/>
          <w:color w:val="auto"/>
        </w:rPr>
        <w:t>[REDACTED]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Performance and Retention Bonus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Amy:</w:t>
      </w:r>
    </w:p>
    <w:p>
      <w:pPr>
        <w:spacing w:after="0" w:line="22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It is with great pleasure that I inform you that the Board of Directors of Artivion, Inc. (the “Company”) has approved, upon my recommendation, that you be awarded a performance and retention equity grant in the total amount of $360,000.00. The grant will consist solely of Restricted Stock Units (“RSUs”), 50% of which will vest on the first anniversary of the grant date, and the remaining 50% of which will vest on the second anniversary of the grant date.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This grant will be made as soon as reasonably practicable after the date of this letter. The grant is contingent upon your continued good performance and your assistance in transitioning and on-boarding the Company’s new Chief Financial Officer over the coming year, determined in the sole discretion of the Company’s Audit Committee and me. Please note that should you leave the Company at any time for any reason, you will forfeit any portion of the grant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remains unvested as of your last date of employment with the Company.</w:t>
      </w:r>
    </w:p>
    <w:p>
      <w:pPr>
        <w:spacing w:after="0" w:line="19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You have been an exceptional contributor to Artivion in your twenty-five years with the Company, and we look forward to you remaining with us as an exceptional contributor and benefiting from the future successes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sign below to acknowledge your acceptance of these grants and their terms.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 Patrick Mackin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Patrick Mackin</w:t>
      </w:r>
    </w:p>
    <w:p>
      <w:pPr>
        <w:spacing w:after="0" w:line="203" w:lineRule="auto"/>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rPr>
          <w:sz w:val="20"/>
          <w:szCs w:val="20"/>
          <w:color w:val="auto"/>
        </w:rPr>
      </w:pPr>
      <w:r>
        <w:rPr>
          <w:rFonts w:ascii="Times New Roman" w:cs="Times New Roman" w:eastAsia="Times New Roman" w:hAnsi="Times New Roman"/>
          <w:sz w:val="18"/>
          <w:szCs w:val="18"/>
          <w:color w:val="auto"/>
        </w:rPr>
        <w:t>Artivion,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976"/>
        </w:rPr>
        <w:t>Artivion, Inc.</w:t>
      </w:r>
    </w:p>
    <w:p>
      <w:pPr>
        <w:jc w:val="center"/>
        <w:spacing w:after="0"/>
        <w:rPr>
          <w:sz w:val="20"/>
          <w:szCs w:val="20"/>
          <w:color w:val="auto"/>
        </w:rPr>
      </w:pPr>
      <w:r>
        <w:rPr>
          <w:rFonts w:ascii="Arial" w:cs="Arial" w:eastAsia="Arial" w:hAnsi="Arial"/>
          <w:sz w:val="14"/>
          <w:szCs w:val="14"/>
          <w:color w:val="004976"/>
        </w:rPr>
        <w:t>1655 Roberts Blvd, NW, Kennesaw, GA 30144</w:t>
      </w:r>
    </w:p>
    <w:p>
      <w:pPr>
        <w:sectPr>
          <w:pgSz w:w="11900" w:h="16838" w:orient="portrait"/>
          <w:cols w:equalWidth="0" w:num="1">
            <w:col w:w="11240"/>
          </w:cols>
          <w:pgMar w:left="320" w:top="347"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3460" w:type="dxa"/>
            <w:vAlign w:val="bottom"/>
          </w:tcPr>
          <w:p>
            <w:pPr>
              <w:spacing w:after="0"/>
              <w:rPr>
                <w:sz w:val="24"/>
                <w:szCs w:val="24"/>
                <w:color w:val="auto"/>
              </w:rPr>
            </w:pPr>
          </w:p>
        </w:tc>
        <w:tc>
          <w:tcPr>
            <w:tcW w:w="778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SUBSIDIARIES OF ARTIVION, INC.</w:t>
            </w:r>
          </w:p>
        </w:tc>
      </w:tr>
      <w:tr>
        <w:trPr>
          <w:trHeight w:val="528"/>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b w:val="1"/>
                <w:bCs w:val="1"/>
                <w:color w:val="auto"/>
              </w:rPr>
              <w:t>Jurisdiction</w:t>
            </w:r>
          </w:p>
        </w:tc>
      </w:tr>
      <w:tr>
        <w:trPr>
          <w:trHeight w:val="41"/>
        </w:trPr>
        <w:tc>
          <w:tcPr>
            <w:tcW w:w="3460" w:type="dxa"/>
            <w:vAlign w:val="bottom"/>
            <w:tcBorders>
              <w:bottom w:val="single" w:sz="8" w:color="auto"/>
            </w:tcBorders>
          </w:tcPr>
          <w:p>
            <w:pPr>
              <w:spacing w:after="0"/>
              <w:rPr>
                <w:sz w:val="3"/>
                <w:szCs w:val="3"/>
                <w:color w:val="auto"/>
              </w:rPr>
            </w:pPr>
          </w:p>
        </w:tc>
        <w:tc>
          <w:tcPr>
            <w:tcW w:w="7780" w:type="dxa"/>
            <w:vAlign w:val="bottom"/>
            <w:tcBorders>
              <w:bottom w:val="single" w:sz="8" w:color="auto"/>
            </w:tcBorders>
          </w:tcPr>
          <w:p>
            <w:pPr>
              <w:spacing w:after="0"/>
              <w:rPr>
                <w:sz w:val="3"/>
                <w:szCs w:val="3"/>
                <w:color w:val="auto"/>
              </w:rPr>
            </w:pPr>
          </w:p>
        </w:tc>
      </w:tr>
      <w:tr>
        <w:trPr>
          <w:trHeight w:val="29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Artivion Chile SpA</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Chile</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Artivion Colombia SAS</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Colombia</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Artivion Cyprus Limited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Cyprus</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Artivion EMEA GmbH</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Artivion Hellas Single Member Ltd.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Greece</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Artivion Hong Kong, Limited</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Hong Kong</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Artivion LATAM Holdings Spain, SLU</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Spain</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Artivion Malaysia, Sdn. Bhd.</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Malaysia</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Artivion New Zealand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New Zealand</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Artivion Polska Sp. z.o.o.</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Poland</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Artivion Taiwan Co. Limited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Taiwan</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Ascyrus Medical GmbH</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Ascyrus Medical LLC</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Florida</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AuraZyme Pharmaceuticals, Inc.</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Florida</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CryoLife Asia Pacific, PTE. Ltd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Singapore</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CryoLife Beijing Medical Device Ltd.</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China</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CryoLife Canada, Inc.</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Canada</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CryoLife Europa, Ltd.</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England and Wales</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CryoLife France, SAS.</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France</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CryoLife Germany HoldCo GmbH</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CryoLife Germany TopCo GmbH</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CryoLife International, Inc.</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Florida</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CryoLife Korea Co., Ltd.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Korea</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CryoLife Medical (Australia) Co. Pty, Ltd.</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Australia</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CryoLife Medical (Thailand) Co., Ltd.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Thailand</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CryoLife Vietnam Co., Ltd.</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Vietnam</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Jolly Buyer Acquisition GmbH</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JOTEC Cardiovascular S.L.</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Spain</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JOTEC do Brasil Ltda.</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Brazil</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JOTEC GmbH</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Germany</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JOTEC s.r.l.</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Italy</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JOTEC Sales GmbH</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JOTEC UK Ltd.</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England</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On-X Life Technologies Holdings, Inc.</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On-X Life Technologies, Inc.</w:t>
            </w:r>
          </w:p>
        </w:tc>
        <w:tc>
          <w:tcPr>
            <w:tcW w:w="7780" w:type="dxa"/>
            <w:vAlign w:val="bottom"/>
            <w:shd w:val="clear" w:color="auto" w:fill="CCEEFF"/>
          </w:tcPr>
          <w:p>
            <w:pPr>
              <w:ind w:left="4640"/>
              <w:spacing w:after="0"/>
              <w:rPr>
                <w:sz w:val="20"/>
                <w:szCs w:val="20"/>
                <w:color w:val="auto"/>
              </w:rPr>
            </w:pPr>
            <w:r>
              <w:rPr>
                <w:rFonts w:ascii="Times New Roman" w:cs="Times New Roman" w:eastAsia="Times New Roman" w:hAnsi="Times New Roman"/>
                <w:sz w:val="18"/>
                <w:szCs w:val="18"/>
                <w:color w:val="auto"/>
              </w:rPr>
              <w:t>Delaware</w:t>
            </w:r>
          </w:p>
        </w:tc>
      </w:tr>
      <w:tr>
        <w:trPr>
          <w:trHeight w:val="297"/>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Valve Special Purpose Co., LLC</w:t>
            </w:r>
          </w:p>
        </w:tc>
        <w:tc>
          <w:tcPr>
            <w:tcW w:w="778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347"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333-272557 on Form on S-8 pertaining to the Artivion, Inc. 2020 Equity and Cash Incentive Plan,</w:t>
      </w:r>
    </w:p>
    <w:p>
      <w:pPr>
        <w:spacing w:after="0" w:line="15"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333-265161 on Form on S-8 pertaining to the Artivion, Inc. Amended and Restated Employee Stock Plan,</w:t>
      </w:r>
    </w:p>
    <w:p>
      <w:pPr>
        <w:ind w:left="660" w:hanging="328"/>
        <w:spacing w:after="0" w:line="219"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333-258716 on Form S-3 filed on August 11, 2021,</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333-244319 on Form S-8 pertaining to the CryoLife, Inc. 2020 Equity and Cash Incentive Plan,</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333-229881 on Form S-8 pertaining to the CryoLife, Inc. Equity and Cash Incentive Plan,</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333-227473 on Form S-3 filed on September 21, 2018,</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333-197545 on Form S-8 pertaining to the CryoLife, Inc. Second Amended and Restated 2009 Stock Incentive Plan,</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333-182296 on Form S-8 pertaining to the Amended and Restated CryoLife, Inc. 2009 Stock Incentive Plan,</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333-182297 on Form S-4 filed on June 22, 2012,</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333-167065 on Form S-8 pertaining to the CryoLife, Inc. Employee Stock Purchase Plan,</w:t>
      </w:r>
    </w:p>
    <w:p>
      <w:pPr>
        <w:ind w:left="640" w:hanging="308"/>
        <w:spacing w:after="0" w:line="234"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333-159608 on Form S-8 pertaining to the CryoLife, Inc. 2009 Employee Stock Incentive Plan,</w:t>
      </w:r>
    </w:p>
    <w:p>
      <w:pPr>
        <w:ind w:left="660" w:hanging="328"/>
        <w:spacing w:after="0" w:line="234" w:lineRule="auto"/>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333-119137 on Form S-8 pertaining to the CryoLife, Inc. 2004 Employee Stock Incentive Plan, and</w:t>
      </w:r>
    </w:p>
    <w:p>
      <w:pPr>
        <w:ind w:left="660" w:hanging="328"/>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333-104637 on Form S-8 pertaining to the CryoLife, Inc. 2002 Stock Incentive Plan;</w:t>
      </w:r>
    </w:p>
    <w:p>
      <w:pPr>
        <w:spacing w:after="0" w:line="200" w:lineRule="exact"/>
        <w:rPr>
          <w:sz w:val="20"/>
          <w:szCs w:val="20"/>
          <w:color w:val="auto"/>
        </w:rPr>
      </w:pPr>
    </w:p>
    <w:p>
      <w:pPr>
        <w:spacing w:after="0" w:line="26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of our reports dated February 23, 2024, with respect to the consolidated financial statements of Artivion, Inc. and subsidiaries and the effectiveness of internal control over financial reporting of Artivion, Inc. and subsidiaries included in this Annual Report (Form 10-K) of Artivion, Inc. and subsidiaries for the year ended December 31,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Atlanta, Georgia</w:t>
      </w: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1">
            <w:col w:w="11240"/>
          </w:cols>
          <w:pgMar w:left="320" w:top="104"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Patrick Mackin, certify that:</w:t>
      </w:r>
    </w:p>
    <w:p>
      <w:pPr>
        <w:spacing w:after="0" w:line="185" w:lineRule="exact"/>
        <w:rPr>
          <w:sz w:val="20"/>
          <w:szCs w:val="20"/>
          <w:color w:val="auto"/>
        </w:rPr>
      </w:pPr>
    </w:p>
    <w:p>
      <w:pPr>
        <w:ind w:left="240" w:hanging="232"/>
        <w:spacing w:after="0"/>
        <w:tabs>
          <w:tab w:leader="none" w:pos="2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registrant, Artivion, Inc.;</w:t>
      </w:r>
    </w:p>
    <w:p>
      <w:pPr>
        <w:spacing w:after="0" w:line="184"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firstLine="8"/>
        <w:spacing w:after="0" w:line="222" w:lineRule="exact"/>
        <w:tabs>
          <w:tab w:leader="none" w:pos="29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58" w:lineRule="exact"/>
        <w:rPr>
          <w:rFonts w:ascii="Times New Roman" w:cs="Times New Roman" w:eastAsia="Times New Roman" w:hAnsi="Times New Roman"/>
          <w:sz w:val="18"/>
          <w:szCs w:val="18"/>
          <w:color w:val="auto"/>
        </w:rPr>
      </w:pPr>
    </w:p>
    <w:p>
      <w:pPr>
        <w:jc w:val="both"/>
        <w:ind w:left="340" w:right="20" w:hanging="8"/>
        <w:spacing w:after="0" w:line="266" w:lineRule="auto"/>
        <w:tabs>
          <w:tab w:leader="none" w:pos="613"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40" w:hanging="8"/>
        <w:spacing w:after="0" w:line="282" w:lineRule="auto"/>
        <w:tabs>
          <w:tab w:leader="none" w:pos="66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8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Times New Roman" w:cs="Times New Roman" w:eastAsia="Times New Roman" w:hAnsi="Times New Roman"/>
          <w:sz w:val="18"/>
          <w:szCs w:val="18"/>
          <w:color w:val="auto"/>
        </w:rPr>
      </w:pPr>
    </w:p>
    <w:p>
      <w:pPr>
        <w:ind w:right="20" w:firstLine="8"/>
        <w:spacing w:after="0" w:line="282" w:lineRule="auto"/>
        <w:tabs>
          <w:tab w:leader="none" w:pos="25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59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25"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17145</wp:posOffset>
            </wp:positionV>
            <wp:extent cx="238315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Lance A. Berry, certify that:</w:t>
      </w:r>
    </w:p>
    <w:p>
      <w:pPr>
        <w:spacing w:after="0" w:line="185" w:lineRule="exact"/>
        <w:rPr>
          <w:sz w:val="20"/>
          <w:szCs w:val="20"/>
          <w:color w:val="auto"/>
        </w:rPr>
      </w:pPr>
    </w:p>
    <w:p>
      <w:pPr>
        <w:ind w:left="240" w:hanging="232"/>
        <w:spacing w:after="0"/>
        <w:tabs>
          <w:tab w:leader="none" w:pos="2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registrant, Artivion, Inc.;</w:t>
      </w:r>
    </w:p>
    <w:p>
      <w:pPr>
        <w:spacing w:after="0" w:line="184" w:lineRule="exact"/>
        <w:rPr>
          <w:rFonts w:ascii="Times New Roman" w:cs="Times New Roman" w:eastAsia="Times New Roman" w:hAnsi="Times New Roman"/>
          <w:sz w:val="18"/>
          <w:szCs w:val="18"/>
          <w:color w:val="auto"/>
        </w:rPr>
      </w:pPr>
    </w:p>
    <w:p>
      <w:pPr>
        <w:ind w:right="20" w:firstLine="8"/>
        <w:spacing w:after="0" w:line="282" w:lineRule="auto"/>
        <w:tabs>
          <w:tab w:leader="none" w:pos="263"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8"/>
          <w:szCs w:val="18"/>
          <w:color w:val="auto"/>
        </w:rPr>
      </w:pPr>
    </w:p>
    <w:p>
      <w:pPr>
        <w:ind w:firstLine="8"/>
        <w:spacing w:after="0" w:line="282" w:lineRule="auto"/>
        <w:tabs>
          <w:tab w:leader="none" w:pos="26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firstLine="8"/>
        <w:spacing w:after="0" w:line="222" w:lineRule="exact"/>
        <w:tabs>
          <w:tab w:leader="none" w:pos="29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158" w:lineRule="exact"/>
        <w:rPr>
          <w:rFonts w:ascii="Times New Roman" w:cs="Times New Roman" w:eastAsia="Times New Roman" w:hAnsi="Times New Roman"/>
          <w:sz w:val="18"/>
          <w:szCs w:val="18"/>
          <w:color w:val="auto"/>
        </w:rPr>
      </w:pPr>
    </w:p>
    <w:p>
      <w:pPr>
        <w:jc w:val="both"/>
        <w:ind w:left="340" w:right="20" w:hanging="8"/>
        <w:spacing w:after="0" w:line="266" w:lineRule="auto"/>
        <w:tabs>
          <w:tab w:leader="none" w:pos="61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340" w:hanging="8"/>
        <w:spacing w:after="0" w:line="282" w:lineRule="auto"/>
        <w:tabs>
          <w:tab w:leader="none" w:pos="66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8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8" w:lineRule="exact"/>
        <w:rPr>
          <w:rFonts w:ascii="Times New Roman" w:cs="Times New Roman" w:eastAsia="Times New Roman" w:hAnsi="Times New Roman"/>
          <w:sz w:val="18"/>
          <w:szCs w:val="18"/>
          <w:color w:val="auto"/>
        </w:rPr>
      </w:pPr>
    </w:p>
    <w:p>
      <w:pPr>
        <w:ind w:right="20" w:firstLine="8"/>
        <w:spacing w:after="0" w:line="282" w:lineRule="auto"/>
        <w:tabs>
          <w:tab w:leader="none" w:pos="25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340" w:hanging="8"/>
        <w:spacing w:after="0" w:line="282" w:lineRule="auto"/>
        <w:tabs>
          <w:tab w:leader="none" w:pos="59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23, 2024</w:t>
      </w:r>
    </w:p>
    <w:p>
      <w:pPr>
        <w:spacing w:after="0" w:line="225"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 LANCE A. BERRY</w:t>
      </w:r>
    </w:p>
    <w:p>
      <w:pPr>
        <w:spacing w:after="0" w:line="27"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 and</w:t>
      </w:r>
    </w:p>
    <w:p>
      <w:pPr>
        <w:spacing w:after="0" w:line="2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Executive Vice President, Finance</w:t>
      </w:r>
    </w:p>
    <w:p>
      <w:pPr>
        <w:sectPr>
          <w:pgSz w:w="11900" w:h="16838" w:orient="portrait"/>
          <w:cols w:equalWidth="0" w:num="1">
            <w:col w:w="11240"/>
          </w:cols>
          <w:pgMar w:left="320" w:top="117"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Artivion, Inc. (the “Company”) on Form 10-K for the year ending December 31, 2023, as filed with the Securities and Exchange Commission on the date hereof (the “Report”), each of James Patrick Mackin, the Chairman, President, and Chief Executive Officer of the Company, and Lance Berry, the Executive Vice President, and Chief Financial Officer of the Company, hereby certifies, pursuant to and for purposes of 18 U.S.C. Section 1350, as adopted pursuant to Section 906 of the Sarbanes-Oxley Act of 2002, that, to his knowledge:</w:t>
      </w:r>
    </w:p>
    <w:p>
      <w:pPr>
        <w:spacing w:after="0" w:line="139" w:lineRule="exact"/>
        <w:rPr>
          <w:sz w:val="20"/>
          <w:szCs w:val="20"/>
          <w:color w:val="auto"/>
        </w:rPr>
      </w:pPr>
    </w:p>
    <w:p>
      <w:pPr>
        <w:ind w:left="580" w:hanging="248"/>
        <w:spacing w:after="0"/>
        <w:tabs>
          <w:tab w:leader="none" w:pos="5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ectPr>
          <w:pgSz w:w="11900" w:h="16838" w:orient="portrait"/>
          <w:cols w:equalWidth="0" w:num="1">
            <w:col w:w="11240"/>
          </w:cols>
          <w:pgMar w:left="320" w:top="117" w:right="339" w:bottom="1440" w:gutter="0" w:footer="0" w:header="0"/>
        </w:sect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 PATRICK MACKIN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3531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 PATRICK MACKIN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President, and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23, 2024</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LANCE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17145</wp:posOffset>
            </wp:positionV>
            <wp:extent cx="3540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5">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LANCE A. BERRY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2024</w:t>
      </w:r>
    </w:p>
    <w:p>
      <w:pPr>
        <w:sectPr>
          <w:pgSz w:w="11900" w:h="16838" w:orient="portrait"/>
          <w:cols w:equalWidth="0" w:num="2">
            <w:col w:w="4960" w:space="720"/>
            <w:col w:w="5560"/>
          </w:cols>
          <w:pgMar w:left="320" w:top="117" w:right="339" w:bottom="1440" w:gutter="0" w:footer="0" w:header="0"/>
          <w:type w:val="continuous"/>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508635</wp:posOffset>
            </wp:positionV>
            <wp:extent cx="1474470" cy="651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6">
                      <a:extLst>
                        <a:ext uri="{28A0092B-C50C-407E-A947-70E740481C1C}"/>
                      </a:extLst>
                    </a:blip>
                    <a:srcRect/>
                    <a:stretch>
                      <a:fillRect/>
                    </a:stretch>
                  </pic:blipFill>
                  <pic:spPr bwMode="auto">
                    <a:xfrm>
                      <a:off x="0" y="0"/>
                      <a:ext cx="147447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ARTIVION, INC.</w:t>
      </w:r>
    </w:p>
    <w:p>
      <w:pPr>
        <w:jc w:val="center"/>
        <w:spacing w:after="0"/>
        <w:rPr>
          <w:sz w:val="20"/>
          <w:szCs w:val="20"/>
          <w:color w:val="auto"/>
        </w:rPr>
      </w:pPr>
      <w:r>
        <w:rPr>
          <w:rFonts w:ascii="Times New Roman" w:cs="Times New Roman" w:eastAsia="Times New Roman" w:hAnsi="Times New Roman"/>
          <w:sz w:val="22"/>
          <w:szCs w:val="22"/>
          <w:b w:val="1"/>
          <w:bCs w:val="1"/>
          <w:color w:val="auto"/>
        </w:rPr>
        <w:t>UPDATED CLAWBACK POLICY</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August 2023</w:t>
      </w:r>
    </w:p>
    <w:p>
      <w:pPr>
        <w:spacing w:after="0" w:line="200" w:lineRule="exact"/>
        <w:rPr>
          <w:sz w:val="20"/>
          <w:szCs w:val="20"/>
          <w:color w:val="auto"/>
        </w:rPr>
      </w:pPr>
    </w:p>
    <w:p>
      <w:pPr>
        <w:spacing w:after="0" w:line="23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In the event Artivion, Inc. (the “Company”) issues a material accounting restatement of its financial statements, or issues a restatement that corrects errors that are not material to previously issued financial statements, but that would result in a material misstatement if corrected or left uncorrected in a current</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financial reporting period, as a result of noncompliance with any financial reporting requirement under the federal securities laws, then the Company, acting through the Compensation Committee (the “Committee”) of its Board of Directors:</w:t>
      </w:r>
    </w:p>
    <w:p>
      <w:pPr>
        <w:spacing w:after="0" w:line="63" w:lineRule="exact"/>
        <w:rPr>
          <w:sz w:val="20"/>
          <w:szCs w:val="20"/>
          <w:color w:val="auto"/>
        </w:rPr>
      </w:pPr>
    </w:p>
    <w:p>
      <w:pPr>
        <w:ind w:left="860" w:right="780" w:hanging="331"/>
        <w:spacing w:after="0" w:line="232" w:lineRule="auto"/>
        <w:tabs>
          <w:tab w:leader="none" w:pos="84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will recoup any Recoverable Compensation Received by any Covered Person, unless the Committee determines in its sole discretion, in consultation with its advisors, that such recovery would be Impracticable.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shall determine in its sole discretion, after consultation with its advisors and with the Audit Committee, whether a restatement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Company’s financial statements is “material,” “corrects errors that are not material to previously issued financial statements, but that would result in a material misstatement if corrected or left uncorrected in a current financial reporting period,” or was “a result of noncompliance with any financial reporting requirement under the federal securities laws.”</w:t>
      </w:r>
    </w:p>
    <w:p>
      <w:pPr>
        <w:spacing w:after="0" w:line="60" w:lineRule="exact"/>
        <w:rPr>
          <w:sz w:val="20"/>
          <w:szCs w:val="20"/>
          <w:color w:val="auto"/>
        </w:rPr>
      </w:pPr>
    </w:p>
    <w:p>
      <w:pPr>
        <w:jc w:val="both"/>
        <w:ind w:left="340" w:right="440"/>
        <w:spacing w:after="0" w:line="22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preceding the earlier of: (i) the date that the Committee, concludes, or reasonably should have concluded, that the Company is required to prepare a Restatement; or (ii) the date a court, regulator, or other legally authorized body directs the Company to prepare a Restatement. The Applicable Period shall also include any transition period (that results from a change in the Company’s fiscal year) of less than nine months within or immediately following the three completed fiscal years.</w:t>
      </w:r>
    </w:p>
    <w:p>
      <w:pPr>
        <w:spacing w:after="0" w:line="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any person who receives Recoverable Compensation.</w:t>
      </w:r>
    </w:p>
    <w:p>
      <w:pPr>
        <w:spacing w:after="0" w:line="77" w:lineRule="exact"/>
        <w:rPr>
          <w:sz w:val="20"/>
          <w:szCs w:val="20"/>
          <w:color w:val="auto"/>
        </w:rPr>
      </w:pPr>
    </w:p>
    <w:p>
      <w:pPr>
        <w:jc w:val="both"/>
        <w:ind w:left="340" w:right="440"/>
        <w:spacing w:after="0" w:line="22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includes the Company’s president, principal financial officer, principal accounting officer (or if there is no such accounting officer, the controller), any vice-president of the Company in charge of a principal business unit, division, or function (such as sales,</w:t>
      </w:r>
    </w:p>
    <w:p>
      <w:pPr>
        <w:jc w:val="both"/>
        <w:ind w:left="340" w:right="440"/>
        <w:spacing w:after="0" w:line="226" w:lineRule="auto"/>
        <w:rPr>
          <w:sz w:val="20"/>
          <w:szCs w:val="20"/>
          <w:color w:val="auto"/>
        </w:rPr>
      </w:pPr>
      <w:r>
        <w:rPr>
          <w:rFonts w:ascii="Times New Roman" w:cs="Times New Roman" w:eastAsia="Times New Roman" w:hAnsi="Times New Roman"/>
          <w:sz w:val="18"/>
          <w:szCs w:val="18"/>
          <w:color w:val="auto"/>
        </w:rPr>
        <w:t>administration, or finance), any other officer who performs a policy-making function, or any other person (including any executive officer of the Company’s controlled affiliates) who performs similar policy-making functions for the Company.</w:t>
      </w:r>
    </w:p>
    <w:p>
      <w:pPr>
        <w:spacing w:after="0" w:line="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w:t>
      </w:r>
    </w:p>
    <w:p>
      <w:pPr>
        <w:spacing w:after="0" w:line="6" w:lineRule="exact"/>
        <w:rPr>
          <w:sz w:val="20"/>
          <w:szCs w:val="20"/>
          <w:color w:val="auto"/>
        </w:rPr>
      </w:pPr>
    </w:p>
    <w:p>
      <w:pPr>
        <w:jc w:val="both"/>
        <w:ind w:left="340" w:right="440"/>
        <w:spacing w:after="0" w:line="239" w:lineRule="auto"/>
        <w:rPr>
          <w:sz w:val="20"/>
          <w:szCs w:val="20"/>
          <w:color w:val="auto"/>
        </w:rPr>
      </w:pPr>
      <w:r>
        <w:rPr>
          <w:rFonts w:ascii="Times New Roman" w:cs="Times New Roman" w:eastAsia="Times New Roman" w:hAnsi="Times New Roman"/>
          <w:sz w:val="17"/>
          <w:szCs w:val="17"/>
          <w:color w:val="auto"/>
        </w:rPr>
        <w:t>preparing the Company’s financial statements (including “non-GAAP” financial measures, such as those appearing in earnings releases), and any measure that is derived wholly or in part from such measure. Stock price and total shareholder return (“TSR”) are Financial Reporting Measures.</w:t>
      </w:r>
    </w:p>
    <w:p>
      <w:pPr>
        <w:spacing w:after="0" w:line="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Impracticable</w:t>
      </w:r>
      <w:r>
        <w:rPr>
          <w:rFonts w:ascii="Times New Roman" w:cs="Times New Roman" w:eastAsia="Times New Roman" w:hAnsi="Times New Roman"/>
          <w:sz w:val="18"/>
          <w:szCs w:val="18"/>
          <w:color w:val="auto"/>
        </w:rPr>
        <w:t>” means, after exercising a normal due process review of all the relevant facts and circumstances and taking all steps required by</w:t>
      </w:r>
    </w:p>
    <w:p>
      <w:pPr>
        <w:spacing w:after="0" w:line="6" w:lineRule="exact"/>
        <w:rPr>
          <w:sz w:val="20"/>
          <w:szCs w:val="20"/>
          <w:color w:val="auto"/>
        </w:rPr>
      </w:pPr>
    </w:p>
    <w:p>
      <w:pPr>
        <w:jc w:val="both"/>
        <w:ind w:left="340" w:right="440"/>
        <w:spacing w:after="0" w:line="208" w:lineRule="auto"/>
        <w:rPr>
          <w:sz w:val="20"/>
          <w:szCs w:val="20"/>
          <w:color w:val="auto"/>
        </w:rPr>
      </w:pPr>
      <w:r>
        <w:rPr>
          <w:rFonts w:ascii="Times New Roman" w:cs="Times New Roman" w:eastAsia="Times New Roman" w:hAnsi="Times New Roman"/>
          <w:sz w:val="18"/>
          <w:szCs w:val="18"/>
          <w:color w:val="auto"/>
        </w:rPr>
        <w:t>Exchange Act Rule 10D-1 and any applicable exchange listing standard, the Committee determines that recovery of the Incentive-Based Compensation is impracticable because: (i) it has determined that the direct expense that the Company would pay to a third party to assist in recovering the Incentive-Based Compensation would exceed the amount to be recovered; (ii) it has concluded that the recovery of the Incentive-</w:t>
      </w:r>
    </w:p>
    <w:p>
      <w:pPr>
        <w:spacing w:after="0" w:line="2" w:lineRule="exact"/>
        <w:rPr>
          <w:sz w:val="20"/>
          <w:szCs w:val="20"/>
          <w:color w:val="auto"/>
        </w:rPr>
      </w:pPr>
    </w:p>
    <w:p>
      <w:pPr>
        <w:jc w:val="both"/>
        <w:ind w:left="340" w:right="440"/>
        <w:spacing w:after="0" w:line="218" w:lineRule="auto"/>
        <w:rPr>
          <w:sz w:val="20"/>
          <w:szCs w:val="20"/>
          <w:color w:val="auto"/>
        </w:rPr>
      </w:pPr>
      <w:r>
        <w:rPr>
          <w:rFonts w:ascii="Times New Roman" w:cs="Times New Roman" w:eastAsia="Times New Roman" w:hAnsi="Times New Roman"/>
          <w:sz w:val="18"/>
          <w:szCs w:val="18"/>
          <w:color w:val="auto"/>
        </w:rPr>
        <w:t>Based Compensation would violate home country law adopted prior to November 28, 2022; or (iii) it has determined that the recovery of Incentive-Based Compensation would cause a tax-qualified retirement plan, under which benefits are broadly available to the Company’s employees, to fail to meet the requirements of 26 U.S.C. 401(a)(13) or 26 U.S.C. 411(a) and regulations thereunder.</w:t>
      </w:r>
    </w:p>
    <w:p>
      <w:pPr>
        <w:spacing w:after="0" w:line="60" w:lineRule="exact"/>
        <w:rPr>
          <w:sz w:val="20"/>
          <w:szCs w:val="20"/>
          <w:color w:val="auto"/>
        </w:rPr>
      </w:pPr>
    </w:p>
    <w:p>
      <w:pPr>
        <w:jc w:val="both"/>
        <w:ind w:left="340" w:right="440"/>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Incentive-Based Compensation</w:t>
      </w:r>
      <w:r>
        <w:rPr>
          <w:rFonts w:ascii="Times New Roman" w:cs="Times New Roman" w:eastAsia="Times New Roman" w:hAnsi="Times New Roman"/>
          <w:sz w:val="18"/>
          <w:szCs w:val="18"/>
          <w:color w:val="auto"/>
        </w:rPr>
        <w:t>” includes any compensation that is granted, earned, or vested based wholly or in part upon the attainment of a Financial Reporting Measure; however it does not include: (i) base salaries; (ii) discretionary cash bonuses; (iii) awards (either cash or equity) that are based upon subjective, strategic or operational standards; and (iv) equity awards that vest solely on the passage of time.</w:t>
      </w:r>
    </w:p>
    <w:p>
      <w:pPr>
        <w:spacing w:after="0" w:line="61" w:lineRule="exact"/>
        <w:rPr>
          <w:sz w:val="20"/>
          <w:szCs w:val="20"/>
          <w:color w:val="auto"/>
        </w:rPr>
      </w:pPr>
    </w:p>
    <w:p>
      <w:pPr>
        <w:jc w:val="both"/>
        <w:ind w:left="340" w:right="440"/>
        <w:spacing w:after="0" w:line="22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 Incentive-Based Compensation is deemed “Received” in any Company fiscal period during which the Financial Reporting Measure specified in the Incentive-Based Compensation award is attained, even if the payment or grant of the Incentive-Based Compensation occurs after the end of that period.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Cambria" w:cs="Cambria" w:eastAsia="Cambria" w:hAnsi="Cambria"/>
          <w:sz w:val="20"/>
          <w:szCs w:val="20"/>
          <w:b w:val="1"/>
          <w:bCs w:val="1"/>
          <w:color w:val="auto"/>
        </w:rPr>
        <w:t>1</w:t>
      </w:r>
    </w:p>
    <w:p>
      <w:pPr>
        <w:sectPr>
          <w:pgSz w:w="11900" w:h="16838" w:orient="portrait"/>
          <w:cols w:equalWidth="0" w:num="1">
            <w:col w:w="11240"/>
          </w:cols>
          <w:pgMar w:left="320" w:top="347" w:right="339" w:bottom="1440" w:gutter="0" w:footer="0" w:header="0"/>
        </w:sectPr>
      </w:pPr>
    </w:p>
    <w:bookmarkStart w:id="166" w:name="page167"/>
    <w:bookmarkEnd w:id="166"/>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Recoverable Compensation</w:t>
      </w:r>
      <w:r>
        <w:rPr>
          <w:rFonts w:ascii="Times New Roman" w:cs="Times New Roman" w:eastAsia="Times New Roman" w:hAnsi="Times New Roman"/>
          <w:sz w:val="18"/>
          <w:szCs w:val="18"/>
          <w:color w:val="auto"/>
        </w:rPr>
        <w:t>” means all Incentive-Based Compensation (calculated on a pre-tax basis) Received after October 2, 2023 by a</w:t>
      </w:r>
    </w:p>
    <w:p>
      <w:pPr>
        <w:spacing w:after="0" w:line="6" w:lineRule="exact"/>
        <w:rPr>
          <w:sz w:val="20"/>
          <w:szCs w:val="20"/>
          <w:color w:val="auto"/>
        </w:rPr>
      </w:pPr>
    </w:p>
    <w:p>
      <w:pPr>
        <w:jc w:val="both"/>
        <w:ind w:left="340" w:right="400"/>
        <w:spacing w:after="0" w:line="208" w:lineRule="auto"/>
        <w:rPr>
          <w:sz w:val="20"/>
          <w:szCs w:val="20"/>
          <w:color w:val="auto"/>
        </w:rPr>
      </w:pPr>
      <w:r>
        <w:rPr>
          <w:rFonts w:ascii="Times New Roman" w:cs="Times New Roman" w:eastAsia="Times New Roman" w:hAnsi="Times New Roman"/>
          <w:sz w:val="18"/>
          <w:szCs w:val="18"/>
          <w:color w:val="auto"/>
        </w:rPr>
        <w:t>person: (i) after beginning service as an Executive Officer; (ii) who served as an Executive Officer at any time during the performance period for that Incentive-Based Compensation; (iii) while the Company had a class of securities listed on a national securities exchange or national securities association; and (iv) during the Applicable Period, that exceeded the amount of Incentive-Based Compensation that otherwise would</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have been Received had the amount been determined based on the Financial Reporting Measures, as reflected in the Restatement.</w:t>
      </w:r>
    </w:p>
    <w:p>
      <w:pPr>
        <w:spacing w:after="0" w:line="57"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Nothing in this Policy shall be deemed to diminish the Committee’s discretion under the Equity and Cash Incentive Plan, in the future, to award or not award any incentive based compensation, reduce the amount of any unvested equity award or unpaid cash bonus or determine not to allow vesting of 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equity award or pay any unpaid cash bonus at any time prior to the actual vesting of such equity award or payment of such cash bonus.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2023</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Cambria" w:cs="Cambria" w:eastAsia="Cambria" w:hAnsi="Cambria"/>
          <w:sz w:val="20"/>
          <w:szCs w:val="20"/>
          <w:b w:val="1"/>
          <w:bCs w:val="1"/>
          <w:color w:val="auto"/>
        </w:rPr>
        <w:t>2</w:t>
      </w:r>
    </w:p>
    <w:sectPr>
      <w:pgSz w:w="11900" w:h="16838" w:orient="portrait"/>
      <w:cols w:equalWidth="0" w:num="1">
        <w:col w:w="11200"/>
      </w:cols>
      <w:pgMar w:left="320" w:top="131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o"/>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decimal"/>
      <w:start w:val="7"/>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a"/>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1."/>
      <w:numFmt w:val="decimal"/>
      <w:start w:val="2"/>
    </w:lvl>
  </w:abstractNum>
  <w:abstractNum w:abstractNumId="30">
    <w:nsid w:val="1F48EAA1"/>
    <w:multiLevelType w:val="hybridMultilevel"/>
    <w:lvl w:ilvl="0">
      <w:lvlJc w:val="left"/>
      <w:lvlText w:val="%1."/>
      <w:numFmt w:val="decimal"/>
      <w:start w:val="3"/>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decimal"/>
      <w:start w:val="1"/>
    </w:lvl>
    <w:lvl w:ilvl="1">
      <w:lvlJc w:val="left"/>
      <w:lvlText w:val="%2"/>
      <w:numFmt w:val="lowerLetter"/>
      <w:start w:val="1"/>
    </w:lvl>
  </w:abstractNum>
  <w:abstractNum w:abstractNumId="38">
    <w:nsid w:val="799D024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9">
    <w:nsid w:val="6B94764"/>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40">
    <w:nsid w:val="42C296BD"/>
    <w:multiLevelType w:val="hybridMultilevel"/>
    <w:lvl w:ilvl="0">
      <w:lvlJc w:val="left"/>
      <w:lvlText w:val="%1."/>
      <w:numFmt w:val="decimal"/>
      <w:start w:val="4"/>
    </w:lvl>
    <w:lvl w:ilvl="1">
      <w:lvlJc w:val="left"/>
      <w:lvlText w:val="%2"/>
      <w:numFmt w:val="lowerRoman"/>
      <w:start w:val="1"/>
    </w:lvl>
    <w:lvl w:ilvl="2">
      <w:lvlJc w:val="left"/>
      <w:lvlText w:val="%3"/>
      <w:numFmt w:val="decimal"/>
      <w:start w:val="1"/>
    </w:lvl>
  </w:abstractNum>
  <w:abstractNum w:abstractNumId="41">
    <w:nsid w:val="168E121F"/>
    <w:multiLevelType w:val="hybridMultilevel"/>
    <w:lvl w:ilvl="0">
      <w:lvlJc w:val="left"/>
      <w:lvlText w:val="%1."/>
      <w:numFmt w:val="decimal"/>
      <w:start w:val="5"/>
    </w:lvl>
  </w:abstractNum>
  <w:abstractNum w:abstractNumId="42">
    <w:nsid w:val="1EBA5D23"/>
    <w:multiLevelType w:val="hybridMultilevel"/>
    <w:lvl w:ilvl="0">
      <w:lvlJc w:val="left"/>
      <w:lvlText w:val="%1."/>
      <w:numFmt w:val="decimal"/>
      <w:start w:val="8"/>
    </w:lvl>
  </w:abstractNum>
  <w:abstractNum w:abstractNumId="43">
    <w:nsid w:val="661E3F1E"/>
    <w:multiLevelType w:val="hybridMultilevel"/>
    <w:lvl w:ilvl="0">
      <w:lvlJc w:val="left"/>
      <w:lvlText w:val="%1."/>
      <w:numFmt w:val="decimal"/>
      <w:start w:val="9"/>
    </w:lvl>
  </w:abstractNum>
  <w:abstractNum w:abstractNumId="44">
    <w:nsid w:val="5DC79EA8"/>
    <w:multiLevelType w:val="hybridMultilevel"/>
    <w:lvl w:ilvl="0">
      <w:lvlJc w:val="left"/>
      <w:lvlText w:val="%1."/>
      <w:numFmt w:val="decimal"/>
      <w:start w:val="1"/>
    </w:lvl>
    <w:lvl w:ilvl="1">
      <w:lvlJc w:val="left"/>
      <w:lvlText w:val="%2"/>
      <w:numFmt w:val="lowerLetter"/>
      <w:start w:val="1"/>
    </w:lvl>
  </w:abstractNum>
  <w:abstractNum w:abstractNumId="45">
    <w:nsid w:val="540A471C"/>
    <w:multiLevelType w:val="hybridMultilevel"/>
    <w:lvl w:ilvl="0">
      <w:lvlJc w:val="left"/>
      <w:lvlText w:val="%1"/>
      <w:numFmt w:val="decimal"/>
      <w:start w:val="1"/>
    </w:lvl>
    <w:lvl w:ilvl="1">
      <w:lvlJc w:val="left"/>
      <w:lvlText w:val="%2."/>
      <w:numFmt w:val="lowerLetter"/>
      <w:start w:val="2"/>
    </w:lvl>
  </w:abstractNum>
  <w:abstractNum w:abstractNumId="46">
    <w:nsid w:val="7BD3EE7B"/>
    <w:multiLevelType w:val="hybridMultilevel"/>
    <w:lvl w:ilvl="0">
      <w:lvlJc w:val="left"/>
      <w:lvlText w:val="%1."/>
      <w:numFmt w:val="decimal"/>
      <w:start w:val="4"/>
    </w:lvl>
    <w:lvl w:ilvl="1">
      <w:lvlJc w:val="left"/>
      <w:lvlText w:val="%2"/>
      <w:numFmt w:val="lowerLetter"/>
      <w:start w:val="1"/>
    </w:lvl>
  </w:abstractNum>
  <w:abstractNum w:abstractNumId="47">
    <w:nsid w:val="51D9C564"/>
    <w:multiLevelType w:val="hybridMultilevel"/>
    <w:lvl w:ilvl="0">
      <w:lvlJc w:val="left"/>
      <w:lvlText w:val="%1."/>
      <w:numFmt w:val="decimal"/>
      <w:start w:val="8"/>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5"/>
    </w:lvl>
  </w:abstractNum>
  <w:abstractNum w:abstractNumId="50">
    <w:nsid w:val="11447B73"/>
    <w:multiLevelType w:val="hybridMultilevel"/>
    <w:lvl w:ilvl="0">
      <w:lvlJc w:val="left"/>
      <w:lvlText w:val="%1."/>
      <w:numFmt w:val="decimal"/>
      <w:start w:val="9"/>
    </w:lvl>
  </w:abstractNum>
  <w:abstractNum w:abstractNumId="51">
    <w:nsid w:val="42963E5A"/>
    <w:multiLevelType w:val="hybridMultilevel"/>
    <w:lvl w:ilvl="0">
      <w:lvlJc w:val="left"/>
      <w:lvlText w:val="%1."/>
      <w:numFmt w:val="decimal"/>
      <w:start w:val="10"/>
    </w:lvl>
  </w:abstractNum>
  <w:abstractNum w:abstractNumId="52">
    <w:nsid w:val="A0382C5"/>
    <w:multiLevelType w:val="hybridMultilevel"/>
    <w:lvl w:ilvl="0">
      <w:lvlJc w:val="left"/>
      <w:lvlText w:val="%1."/>
      <w:numFmt w:val="decimal"/>
      <w:start w:val="1"/>
    </w:lvl>
    <w:lvl w:ilvl="1">
      <w:lvlJc w:val="left"/>
      <w:lvlText w:val="%2"/>
      <w:numFmt w:val="lowerLetter"/>
      <w:start w:val="1"/>
    </w:lvl>
  </w:abstractNum>
  <w:abstractNum w:abstractNumId="53">
    <w:nsid w:val="8F2B15E"/>
    <w:multiLevelType w:val="hybridMultilevel"/>
    <w:lvl w:ilvl="0">
      <w:lvlJc w:val="left"/>
      <w:lvlText w:val="%1"/>
      <w:numFmt w:val="decimal"/>
      <w:start w:val="1"/>
    </w:lvl>
    <w:lvl w:ilvl="1">
      <w:lvlJc w:val="left"/>
      <w:lvlText w:val="%2."/>
      <w:numFmt w:val="lowerLetter"/>
      <w:start w:val="2"/>
    </w:lvl>
  </w:abstractNum>
  <w:abstractNum w:abstractNumId="54">
    <w:nsid w:val="1A32234B"/>
    <w:multiLevelType w:val="hybridMultilevel"/>
    <w:lvl w:ilvl="0">
      <w:lvlJc w:val="left"/>
      <w:lvlText w:val="%1."/>
      <w:numFmt w:val="decimal"/>
      <w:start w:val="4"/>
    </w:lvl>
    <w:lvl w:ilvl="1">
      <w:lvlJc w:val="left"/>
      <w:lvlText w:val="%2"/>
      <w:numFmt w:val="lowerLetter"/>
      <w:start w:val="1"/>
    </w:lvl>
  </w:abstractNum>
  <w:abstractNum w:abstractNumId="55">
    <w:nsid w:val="3B0FD379"/>
    <w:multiLevelType w:val="hybridMultilevel"/>
    <w:lvl w:ilvl="0">
      <w:lvlJc w:val="left"/>
      <w:lvlText w:val="(%1)"/>
      <w:numFmt w:val="lowerLetter"/>
      <w:start w:val="1"/>
    </w:lvl>
    <w:lvl w:ilvl="1">
      <w:lvlJc w:val="left"/>
      <w:lvlText w:val="(%2)"/>
      <w:numFmt w:val="upperLetter"/>
      <w:start w:val="1"/>
    </w:lvl>
  </w:abstractNum>
  <w:abstractNum w:abstractNumId="56">
    <w:nsid w:val="68EB2F63"/>
    <w:multiLevelType w:val="hybridMultilevel"/>
    <w:lvl w:ilvl="0">
      <w:lvlJc w:val="left"/>
      <w:lvlText w:val="%1"/>
      <w:numFmt w:val="decimal"/>
      <w:start w:val="1"/>
    </w:lvl>
    <w:lvl w:ilvl="1">
      <w:lvlJc w:val="left"/>
      <w:lvlText w:val="(%2)"/>
      <w:numFmt w:val="upperLetter"/>
      <w:start w:val="3"/>
    </w:lvl>
  </w:abstractNum>
  <w:abstractNum w:abstractNumId="57">
    <w:nsid w:val="4962813B"/>
    <w:multiLevelType w:val="hybridMultilevel"/>
    <w:lvl w:ilvl="0">
      <w:lvlJc w:val="left"/>
      <w:lvlText w:val="%1."/>
      <w:numFmt w:val="decimal"/>
      <w:start w:val="7"/>
    </w:lvl>
    <w:lvl w:ilvl="1">
      <w:lvlJc w:val="left"/>
      <w:lvlText w:val="%2"/>
      <w:numFmt w:val="upperLetter"/>
      <w:start w:val="1"/>
    </w:lvl>
  </w:abstractNum>
  <w:abstractNum w:abstractNumId="58">
    <w:nsid w:val="60B6DF70"/>
    <w:multiLevelType w:val="hybridMultilevel"/>
    <w:lvl w:ilvl="0">
      <w:lvlJc w:val="left"/>
      <w:lvlText w:val="%1."/>
      <w:numFmt w:val="decimal"/>
      <w:start w:val="8"/>
    </w:lvl>
  </w:abstractNum>
  <w:abstractNum w:abstractNumId="59">
    <w:nsid w:val="6A5EE64"/>
    <w:multiLevelType w:val="hybridMultilevel"/>
    <w:lvl w:ilvl="0">
      <w:lvlJc w:val="left"/>
      <w:lvlText w:val="%1."/>
      <w:numFmt w:val="decimal"/>
      <w:start w:val="1"/>
    </w:lvl>
  </w:abstractNum>
  <w:abstractNum w:abstractNumId="60">
    <w:nsid w:val="14330624"/>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61">
    <w:nsid w:val="7FFFCA11"/>
    <w:multiLevelType w:val="hybridMultilevel"/>
    <w:lvl w:ilvl="0">
      <w:lvlJc w:val="left"/>
      <w:lvlText w:val="%1"/>
      <w:numFmt w:val="decimal"/>
      <w:start w:val="1"/>
    </w:lvl>
    <w:lvl w:ilvl="1">
      <w:lvlJc w:val="left"/>
      <w:lvlText w:val="(%2)"/>
      <w:numFmt w:val="upperLetter"/>
      <w:start w:val="7"/>
    </w:lvl>
  </w:abstractNum>
  <w:abstractNum w:abstractNumId="62">
    <w:nsid w:val="1A27709E"/>
    <w:multiLevelType w:val="hybridMultilevel"/>
    <w:lvl w:ilvl="0">
      <w:lvlJc w:val="left"/>
      <w:lvlText w:val="%1."/>
      <w:numFmt w:val="decimal"/>
      <w:start w:val="8"/>
    </w:lvl>
    <w:lvl w:ilvl="1">
      <w:lvlJc w:val="left"/>
      <w:lvlText w:val="%2"/>
      <w:numFmt w:val="upperLetter"/>
      <w:start w:val="1"/>
    </w:lvl>
  </w:abstractNum>
  <w:abstractNum w:abstractNumId="63">
    <w:nsid w:val="71EA1109"/>
    <w:multiLevelType w:val="hybridMultilevel"/>
    <w:lvl w:ilvl="0">
      <w:lvlJc w:val="left"/>
      <w:lvlText w:val="%1."/>
      <w:numFmt w:val="decimal"/>
      <w:start w:val="9"/>
    </w:lvl>
  </w:abstractNum>
  <w:abstractNum w:abstractNumId="64">
    <w:nsid w:val="100F59DC"/>
    <w:multiLevelType w:val="hybridMultilevel"/>
    <w:lvl w:ilvl="0">
      <w:lvlJc w:val="left"/>
      <w:lvlText w:val="%1)"/>
      <w:numFmt w:val="lowerLetter"/>
      <w:start w:val="1"/>
    </w:lvl>
  </w:abstractNum>
  <w:abstractNum w:abstractNumId="65">
    <w:nsid w:val="7FB7E0AA"/>
    <w:multiLevelType w:val="hybridMultilevel"/>
    <w:lvl w:ilvl="0">
      <w:lvlJc w:val="left"/>
      <w:lvlText w:val="%1."/>
      <w:numFmt w:val="decimal"/>
      <w:start w:val="1"/>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decimal"/>
      <w:start w:val="3"/>
    </w:lvl>
    <w:lvl w:ilvl="1">
      <w:lvlJc w:val="left"/>
      <w:lvlText w:val="%2."/>
      <w:numFmt w:val="lowerLetter"/>
      <w:start w:val="1"/>
    </w:lvl>
  </w:abstractNum>
  <w:abstractNum w:abstractNumId="68">
    <w:nsid w:val="94211F2"/>
    <w:multiLevelType w:val="hybridMultilevel"/>
    <w:lvl w:ilvl="0">
      <w:lvlJc w:val="left"/>
      <w:lvlText w:val="%1."/>
      <w:numFmt w:val="decimal"/>
      <w:start w:val="1"/>
    </w:lvl>
    <w:lvl w:ilvl="1">
      <w:lvlJc w:val="left"/>
      <w:lvlText w:val="%2."/>
      <w:numFmt w:val="lowerLetter"/>
      <w:start w:val="1"/>
    </w:lvl>
  </w:abstractNum>
  <w:abstractNum w:abstractNumId="69">
    <w:nsid w:val="885E1B"/>
    <w:multiLevelType w:val="hybridMultilevel"/>
    <w:lvl w:ilvl="0">
      <w:lvlJc w:val="left"/>
      <w:lvlText w:val="%1."/>
      <w:numFmt w:val="decimal"/>
      <w:start w:val="5"/>
    </w:lvl>
  </w:abstractNum>
  <w:abstractNum w:abstractNumId="70">
    <w:nsid w:val="76272110"/>
    <w:multiLevelType w:val="hybridMultilevel"/>
    <w:lvl w:ilvl="0">
      <w:lvlJc w:val="left"/>
      <w:lvlText w:val="%1."/>
      <w:numFmt w:val="decimal"/>
      <w:start w:val="6"/>
    </w:lvl>
  </w:abstractNum>
  <w:abstractNum w:abstractNumId="71">
    <w:nsid w:val="4C04A8AF"/>
    <w:multiLevelType w:val="hybridMultilevel"/>
    <w:lvl w:ilvl="0">
      <w:lvlJc w:val="left"/>
      <w:lvlText w:val="%1."/>
      <w:numFmt w:val="decimal"/>
      <w:start w:val="8"/>
    </w:lvl>
  </w:abstractNum>
  <w:abstractNum w:abstractNumId="72">
    <w:nsid w:val="1716703B"/>
    <w:multiLevelType w:val="hybridMultilevel"/>
    <w:lvl w:ilvl="0">
      <w:lvlJc w:val="left"/>
      <w:lvlText w:val="%1."/>
      <w:numFmt w:val="decimal"/>
      <w:start w:val="1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6">
    <w:nsid w:val="68EBC550"/>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77">
    <w:nsid w:val="2DF6D648"/>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78">
    <w:nsid w:val="46B7D447"/>
    <w:multiLevelType w:val="hybridMultilevel"/>
    <w:lvl w:ilvl="0">
      <w:lvlJc w:val="left"/>
      <w:lvlText w:val="(%1)"/>
      <w:numFmt w:val="upperLetter"/>
      <w:start w:val="2"/>
    </w:lvl>
  </w:abstractNum>
  <w:abstractNum w:abstractNumId="79">
    <w:nsid w:val="4A2AC315"/>
    <w:multiLevelType w:val="hybridMultilevel"/>
    <w:lvl w:ilvl="0">
      <w:lvlJc w:val="left"/>
      <w:lvlText w:val="(%1)"/>
      <w:numFmt w:val="lowerRoman"/>
      <w:start w:val="4"/>
    </w:lvl>
  </w:abstractNum>
  <w:abstractNum w:abstractNumId="80">
    <w:nsid w:val="39EE015C"/>
    <w:multiLevelType w:val="hybridMultilevel"/>
    <w:lvl w:ilvl="0">
      <w:lvlJc w:val="left"/>
      <w:lvlText w:val="%1"/>
      <w:numFmt w:val="decimal"/>
      <w:start w:val="1"/>
    </w:lvl>
    <w:lvl w:ilvl="1">
      <w:lvlJc w:val="left"/>
      <w:lvlText w:val="(%2)"/>
      <w:numFmt w:val="lowerLetter"/>
      <w:start w:val="5"/>
    </w:lvl>
  </w:abstractNum>
  <w:abstractNum w:abstractNumId="81">
    <w:nsid w:val="57FC4FBB"/>
    <w:multiLevelType w:val="hybridMultilevel"/>
    <w:lvl w:ilvl="0">
      <w:lvlJc w:val="left"/>
      <w:lvlText w:val="%1."/>
      <w:numFmt w:val="decimal"/>
      <w:start w:val="2"/>
    </w:lvl>
    <w:lvl w:ilvl="1">
      <w:lvlJc w:val="left"/>
      <w:lvlText w:val="%2"/>
      <w:numFmt w:val="lowerLetter"/>
      <w:start w:val="1"/>
    </w:lvl>
  </w:abstractNum>
  <w:abstractNum w:abstractNumId="82">
    <w:nsid w:val="CC1016F"/>
    <w:multiLevelType w:val="hybridMultilevel"/>
    <w:lvl w:ilvl="0">
      <w:lvlJc w:val="left"/>
      <w:lvlText w:val="%1."/>
      <w:numFmt w:val="decimal"/>
      <w:start w:val="3"/>
    </w:lvl>
  </w:abstractNum>
  <w:abstractNum w:abstractNumId="83">
    <w:nsid w:val="43F1842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4">
    <w:nsid w:val="60EF011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85">
    <w:nsid w:val="26F324BA"/>
    <w:multiLevelType w:val="hybridMultilevel"/>
    <w:lvl w:ilvl="0">
      <w:lvlJc w:val="left"/>
      <w:lvlText w:val="(%1)"/>
      <w:numFmt w:val="lowerLetter"/>
      <w:start w:val="5"/>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86">
    <w:nsid w:val="7F01579B"/>
    <w:multiLevelType w:val="hybridMultilevel"/>
    <w:lvl w:ilvl="0">
      <w:lvlJc w:val="left"/>
      <w:lvlText w:val="%1"/>
      <w:numFmt w:val="decimal"/>
      <w:start w:val="1"/>
    </w:lvl>
    <w:lvl w:ilvl="1">
      <w:lvlJc w:val="left"/>
      <w:lvlText w:val="(%2)"/>
      <w:numFmt w:val="lowerRoman"/>
      <w:start w:val="3"/>
    </w:lvl>
  </w:abstractNum>
  <w:abstractNum w:abstractNumId="87">
    <w:nsid w:val="49DA307D"/>
    <w:multiLevelType w:val="hybridMultilevel"/>
    <w:lvl w:ilvl="0">
      <w:lvlJc w:val="left"/>
      <w:lvlText w:val="(%1)"/>
      <w:numFmt w:val="decimal"/>
      <w:start w:val="12"/>
    </w:lvl>
    <w:lvl w:ilvl="1">
      <w:lvlJc w:val="left"/>
      <w:lvlText w:val="%2"/>
      <w:numFmt w:val="lowerRoman"/>
      <w:start w:val="1"/>
    </w:lvl>
  </w:abstractNum>
  <w:abstractNum w:abstractNumId="88">
    <w:nsid w:val="7055A5F5"/>
    <w:multiLevelType w:val="hybridMultilevel"/>
    <w:lvl w:ilvl="0">
      <w:lvlJc w:val="left"/>
      <w:lvlText w:val="%1"/>
      <w:numFmt w:val="decimal"/>
      <w:start w:val="1"/>
    </w:lvl>
    <w:lvl w:ilvl="1">
      <w:lvlJc w:val="left"/>
      <w:lvlText w:val="(%2)"/>
      <w:numFmt w:val="lowerLetter"/>
      <w:start w:val="3"/>
    </w:lvl>
  </w:abstractNum>
  <w:abstractNum w:abstractNumId="89">
    <w:nsid w:val="5FB8370B"/>
    <w:multiLevelType w:val="hybridMultilevel"/>
    <w:lvl w:ilvl="0">
      <w:lvlJc w:val="left"/>
      <w:lvlText w:val="%1."/>
      <w:numFmt w:val="decimal"/>
      <w:start w:val="6"/>
    </w:lvl>
    <w:lvl w:ilvl="1">
      <w:lvlJc w:val="left"/>
      <w:lvlText w:val="%2"/>
      <w:numFmt w:val="lowerLetter"/>
      <w:start w:val="1"/>
    </w:lvl>
  </w:abstractNum>
  <w:abstractNum w:abstractNumId="90">
    <w:nsid w:val="50801EE1"/>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35"/>
    </w:lvl>
  </w:abstractNum>
  <w:abstractNum w:abstractNumId="91">
    <w:nsid w:val="488AC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92">
    <w:nsid w:val="5FB8011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61"/>
    </w:lvl>
    <w:lvl w:ilvl="4">
      <w:lvlJc w:val="left"/>
      <w:lvlText w:val="%5"/>
      <w:numFmt w:val="upperLetter"/>
      <w:start w:val="1"/>
    </w:lvl>
  </w:abstractNum>
  <w:abstractNum w:abstractNumId="93">
    <w:nsid w:val="6AA78F7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lvl w:ilvl="4">
      <w:lvlJc w:val="left"/>
      <w:lvlText w:val="%5"/>
      <w:numFmt w:val="upperLetter"/>
      <w:start w:val="1"/>
    </w:lvl>
  </w:abstractNum>
  <w:abstractNum w:abstractNumId="94">
    <w:nsid w:val="7672BD23"/>
    <w:multiLevelType w:val="hybridMultilevel"/>
    <w:lvl w:ilvl="0">
      <w:lvlJc w:val="left"/>
      <w:lvlText w:val="(%1)"/>
      <w:numFmt w:val="decimal"/>
      <w:start w:val="3"/>
    </w:lvl>
    <w:lvl w:ilvl="1">
      <w:lvlJc w:val="left"/>
      <w:lvlText w:val="%2."/>
      <w:numFmt w:val="decimal"/>
      <w:start w:val="8"/>
    </w:lvl>
    <w:lvl w:ilvl="2">
      <w:lvlJc w:val="left"/>
      <w:lvlText w:val="%3"/>
      <w:numFmt w:val="lowerLetter"/>
      <w:start w:val="1"/>
    </w:lvl>
    <w:lvl w:ilvl="3">
      <w:lvlJc w:val="left"/>
      <w:lvlText w:val="%4"/>
      <w:numFmt w:val="lowerLetter"/>
      <w:start w:val="1"/>
    </w:lvl>
    <w:lvl w:ilvl="4">
      <w:lvlJc w:val="left"/>
      <w:lvlText w:val="%5"/>
      <w:numFmt w:val="upperLetter"/>
      <w:start w:val="1"/>
    </w:lvl>
  </w:abstractNum>
  <w:abstractNum w:abstractNumId="95">
    <w:nsid w:val="6FC75AF8"/>
    <w:multiLevelType w:val="hybridMultilevel"/>
    <w:lvl w:ilvl="0">
      <w:lvlJc w:val="left"/>
      <w:lvlText w:val="%1."/>
      <w:numFmt w:val="decimal"/>
      <w:start w:val="9"/>
    </w:lvl>
    <w:lvl w:ilvl="1">
      <w:lvlJc w:val="left"/>
      <w:lvlText w:val="(%2)"/>
      <w:numFmt w:val="lowerLetter"/>
      <w:start w:val="1"/>
    </w:lvl>
  </w:abstractNum>
  <w:abstractNum w:abstractNumId="96">
    <w:nsid w:val="6A5F7029"/>
    <w:multiLevelType w:val="hybridMultilevel"/>
    <w:lvl w:ilvl="0">
      <w:lvlJc w:val="left"/>
      <w:lvlText w:val="%1."/>
      <w:numFmt w:val="decimal"/>
      <w:start w:val="11"/>
    </w:lvl>
    <w:lvl w:ilvl="1">
      <w:lvlJc w:val="left"/>
      <w:lvlText w:val="(%2)"/>
      <w:numFmt w:val="lowerLetter"/>
      <w:start w:val="1"/>
    </w:lvl>
  </w:abstractNum>
  <w:abstractNum w:abstractNumId="97">
    <w:nsid w:val="7D5E18F8"/>
    <w:multiLevelType w:val="hybridMultilevel"/>
    <w:lvl w:ilvl="0">
      <w:lvlJc w:val="left"/>
      <w:lvlText w:val="(%1)"/>
      <w:numFmt w:val="lowerLetter"/>
      <w:start w:val="4"/>
    </w:lvl>
  </w:abstractNum>
  <w:abstractNum w:abstractNumId="98">
    <w:nsid w:val="5F3534A4"/>
    <w:multiLevelType w:val="hybridMultilevel"/>
    <w:lvl w:ilvl="0">
      <w:lvlJc w:val="left"/>
      <w:lvlText w:val="%1."/>
      <w:numFmt w:val="decimal"/>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7" Type="http://schemas.openxmlformats.org/officeDocument/2006/relationships/image" Target="media/image137.png"/><Relationship Id="rId149" Type="http://schemas.openxmlformats.org/officeDocument/2006/relationships/image" Target="media/image138.png"/><Relationship Id="rId152" Type="http://schemas.openxmlformats.org/officeDocument/2006/relationships/image" Target="media/image139.png"/><Relationship Id="rId155" Type="http://schemas.openxmlformats.org/officeDocument/2006/relationships/image" Target="media/image140.png"/><Relationship Id="rId158" Type="http://schemas.openxmlformats.org/officeDocument/2006/relationships/image" Target="media/image141.png"/><Relationship Id="rId161" Type="http://schemas.openxmlformats.org/officeDocument/2006/relationships/image" Target="media/image142.png"/><Relationship Id="rId163" Type="http://schemas.openxmlformats.org/officeDocument/2006/relationships/image" Target="media/image143.png"/><Relationship Id="rId166" Type="http://schemas.openxmlformats.org/officeDocument/2006/relationships/image" Target="media/image144.png"/><Relationship Id="rId169" Type="http://schemas.openxmlformats.org/officeDocument/2006/relationships/image" Target="media/image145.png"/><Relationship Id="rId172" Type="http://schemas.openxmlformats.org/officeDocument/2006/relationships/image" Target="media/image146.png"/><Relationship Id="rId179" Type="http://schemas.openxmlformats.org/officeDocument/2006/relationships/image" Target="media/image147.png"/><Relationship Id="rId182"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9" Type="http://schemas.openxmlformats.org/officeDocument/2006/relationships/image" Target="media/image152.png"/><Relationship Id="rId191" Type="http://schemas.openxmlformats.org/officeDocument/2006/relationships/image" Target="media/image153.png"/><Relationship Id="rId194" Type="http://schemas.openxmlformats.org/officeDocument/2006/relationships/image" Target="media/image154.png"/><Relationship Id="rId209" Type="http://schemas.openxmlformats.org/officeDocument/2006/relationships/image" Target="media/image155.png"/><Relationship Id="rId210" Type="http://schemas.openxmlformats.org/officeDocument/2006/relationships/image" Target="media/image156.png"/><Relationship Id="rId214" Type="http://schemas.openxmlformats.org/officeDocument/2006/relationships/image" Target="media/image157.png"/><Relationship Id="rId216" Type="http://schemas.openxmlformats.org/officeDocument/2006/relationships/image" Target="media/image158.png"/><Relationship Id="rId219" Type="http://schemas.openxmlformats.org/officeDocument/2006/relationships/image" Target="media/image159.png"/><Relationship Id="rId224" Type="http://schemas.openxmlformats.org/officeDocument/2006/relationships/image" Target="media/image160.png"/><Relationship Id="rId227" Type="http://schemas.openxmlformats.org/officeDocument/2006/relationships/image" Target="media/image161.png"/><Relationship Id="rId230" Type="http://schemas.openxmlformats.org/officeDocument/2006/relationships/image" Target="media/image162.png"/><Relationship Id="rId233" Type="http://schemas.openxmlformats.org/officeDocument/2006/relationships/image" Target="media/image163.png"/><Relationship Id="rId235" Type="http://schemas.openxmlformats.org/officeDocument/2006/relationships/image" Target="media/image164.png"/><Relationship Id="rId239" Type="http://schemas.openxmlformats.org/officeDocument/2006/relationships/image" Target="media/image165.png"/><Relationship Id="rId240" Type="http://schemas.openxmlformats.org/officeDocument/2006/relationships/image" Target="media/image166.jpeg"/><Relationship Id="rId241" Type="http://schemas.openxmlformats.org/officeDocument/2006/relationships/image" Target="media/image167.jpeg"/><Relationship Id="rId242" Type="http://schemas.openxmlformats.org/officeDocument/2006/relationships/image" Target="media/image168.jpeg"/><Relationship Id="rId243" Type="http://schemas.openxmlformats.org/officeDocument/2006/relationships/image" Target="media/image169.jpeg"/><Relationship Id="rId244" Type="http://schemas.openxmlformats.org/officeDocument/2006/relationships/image" Target="media/image170.jpeg"/><Relationship Id="rId245" Type="http://schemas.openxmlformats.org/officeDocument/2006/relationships/image" Target="media/image171.jpeg"/><Relationship Id="rId246" Type="http://schemas.openxmlformats.org/officeDocument/2006/relationships/image" Target="media/image172.jpeg"/><Relationship Id="rId247" Type="http://schemas.openxmlformats.org/officeDocument/2006/relationships/image" Target="media/image173.jpeg"/><Relationship Id="rId248" Type="http://schemas.openxmlformats.org/officeDocument/2006/relationships/image" Target="media/image174.jpeg"/><Relationship Id="rId249" Type="http://schemas.openxmlformats.org/officeDocument/2006/relationships/image" Target="media/image175.png"/><Relationship Id="rId250" Type="http://schemas.openxmlformats.org/officeDocument/2006/relationships/image" Target="media/image176.png"/><Relationship Id="rId251" Type="http://schemas.openxmlformats.org/officeDocument/2006/relationships/image" Target="media/image177.png"/><Relationship Id="rId252" Type="http://schemas.openxmlformats.org/officeDocument/2006/relationships/image" Target="media/image178.jpeg"/><Relationship Id="rId253" Type="http://schemas.openxmlformats.org/officeDocument/2006/relationships/image" Target="media/image179.png"/><Relationship Id="rId254" Type="http://schemas.openxmlformats.org/officeDocument/2006/relationships/image" Target="media/image180.png"/><Relationship Id="rId255" Type="http://schemas.openxmlformats.org/officeDocument/2006/relationships/image" Target="media/image181.png"/><Relationship Id="rId256" Type="http://schemas.openxmlformats.org/officeDocument/2006/relationships/image" Target="media/image182.jpeg"/><Relationship Id="rId144" Type="http://schemas.openxmlformats.org/officeDocument/2006/relationships/hyperlink" Target="https://www.sec.gov/Archives/edgar/data/784199/000119312520238158/d84149dex21.htm" TargetMode="External"/><Relationship Id="rId145" Type="http://schemas.openxmlformats.org/officeDocument/2006/relationships/hyperlink" Target="http://www.sec.gov/Archives/edgar/data/784199/000078419921000183/cry-20210729xex2_1.htm" TargetMode="External"/><Relationship Id="rId146" Type="http://schemas.openxmlformats.org/officeDocument/2006/relationships/hyperlink" Target="http://www.sec.gov/Archives/edgar/data/784199/000078419922000006/cry-20220101xex2_1.htm" TargetMode="External"/><Relationship Id="rId148" Type="http://schemas.openxmlformats.org/officeDocument/2006/relationships/hyperlink" Target="http://www.sec.gov/Archives/edgar/data/784199/000078419922000006/cry-20220101xex3_2.htm" TargetMode="External"/><Relationship Id="rId150" Type="http://schemas.openxmlformats.org/officeDocument/2006/relationships/hyperlink" Target="https://www.sec.gov/Archives/edgar/data/784199/000078419922000014/cry-20220118xex3_1.htm" TargetMode="External"/><Relationship Id="rId151" Type="http://schemas.openxmlformats.org/officeDocument/2006/relationships/hyperlink" Target="http://www.sec.gov/Archives/edgar/data/784199/000078419922000014/cry-20220118xex3_2.htm" TargetMode="External"/><Relationship Id="rId153" Type="http://schemas.openxmlformats.org/officeDocument/2006/relationships/hyperlink" Target="https://www.sec.gov/Archives/edgar/data/784199/000078419923000139/form8-kxex32.htm" TargetMode="External"/><Relationship Id="rId154" Type="http://schemas.openxmlformats.org/officeDocument/2006/relationships/hyperlink" Target="http://www.sec.gov/Archives/edgar/data/784199/0000931763-98-000355-index.html" TargetMode="External"/><Relationship Id="rId156" Type="http://schemas.openxmlformats.org/officeDocument/2006/relationships/hyperlink" Target="https://www.sec.gov/Archives/edgar/data/784199/000078419923000040/aort-20221231xexx42.htm" TargetMode="External"/><Relationship Id="rId157" Type="http://schemas.openxmlformats.org/officeDocument/2006/relationships/hyperlink" Target="https://www.sec.gov/Archives/edgar/data/784199/000119312520176533/d946474dex41.htm" TargetMode="External"/><Relationship Id="rId159" Type="http://schemas.openxmlformats.org/officeDocument/2006/relationships/hyperlink" Target="http://www.sec.gov/Archives/edgar/data/784199/000119312509159190/dex101.htm" TargetMode="External"/><Relationship Id="rId160" Type="http://schemas.openxmlformats.org/officeDocument/2006/relationships/hyperlink" Target="http://www.sec.gov/Archives/edgar/data/784199/000091406212000193/cryolifes8612ex991.htm" TargetMode="External"/><Relationship Id="rId162" Type="http://schemas.openxmlformats.org/officeDocument/2006/relationships/hyperlink" Target="http://www.sec.gov/Archives/edgar/data/784199/000119312512441660/d430247dex105.htm" TargetMode="External"/><Relationship Id="rId164" Type="http://schemas.openxmlformats.org/officeDocument/2006/relationships/hyperlink" Target="http://www.sec.gov/Archives/edgar/data/784199/000119312514134703/d644775ddef14a.htm" TargetMode="External"/><Relationship Id="rId165" Type="http://schemas.openxmlformats.org/officeDocument/2006/relationships/hyperlink" Target="http://www.sec.gov/Archives/edgar/data/784199/000119312510099210/dex102.htm" TargetMode="External"/><Relationship Id="rId167" Type="http://schemas.openxmlformats.org/officeDocument/2006/relationships/hyperlink" Target="http://www.sec.gov/Archives/edgar/data/784199/000119312515265790/d24507dex103.htm" TargetMode="External"/><Relationship Id="rId168" Type="http://schemas.openxmlformats.org/officeDocument/2006/relationships/hyperlink" Target="https://www.sec.gov/Archives/edgar/data/784199/000119312519051962/d676077dex102a.htm" TargetMode="External"/><Relationship Id="rId170" Type="http://schemas.openxmlformats.org/officeDocument/2006/relationships/hyperlink" Target="https://www.sec.gov/Archives/edgar/data/784199/000078419920000019/cry-20191231xex10_2b.htm" TargetMode="External"/><Relationship Id="rId171" Type="http://schemas.openxmlformats.org/officeDocument/2006/relationships/hyperlink" Target="https://www.sec.gov/Archives/edgar/data/784199/000078419920000019/cry-20191231xex10_2c.htm" TargetMode="External"/><Relationship Id="rId173" Type="http://schemas.openxmlformats.org/officeDocument/2006/relationships/hyperlink" Target="https://www.sec.gov/Archives/edgar/data/784199/000119312518153021/d580934dex102c.htm" TargetMode="External"/><Relationship Id="rId174" Type="http://schemas.openxmlformats.org/officeDocument/2006/relationships/hyperlink" Target="https://www.sec.gov/Archives/edgar/data/784199/000119312518153021/d580934dex102d.htm" TargetMode="External"/><Relationship Id="rId175" Type="http://schemas.openxmlformats.org/officeDocument/2006/relationships/hyperlink" Target="https://www.sec.gov/Archives/edgar/data/784199/000119312518153021/d580934dex102e.htm" TargetMode="External"/><Relationship Id="rId176" Type="http://schemas.openxmlformats.org/officeDocument/2006/relationships/hyperlink" Target="https://www.sec.gov/Archives/edgar/data/784199/000139834420007255/fp0052236_def14a.htm" TargetMode="External"/><Relationship Id="rId177" Type="http://schemas.openxmlformats.org/officeDocument/2006/relationships/hyperlink" Target="https://www.sec.gov/Archives/edgar/data/784199/000078419923000040/aort-20221231xexx103a.htm" TargetMode="External"/><Relationship Id="rId178" Type="http://schemas.openxmlformats.org/officeDocument/2006/relationships/hyperlink" Target="https://www.sec.gov/Archives/edgar/data/784199/000078419922000124/aort-20220331xex10_1.htm" TargetMode="External"/><Relationship Id="rId180" Type="http://schemas.openxmlformats.org/officeDocument/2006/relationships/hyperlink" Target="https://www.sec.gov/Archives/edgar/data/784199/000078419922000124/aort-20220331xex10_2.htm" TargetMode="External"/><Relationship Id="rId181" Type="http://schemas.openxmlformats.org/officeDocument/2006/relationships/hyperlink" Target="https://www.sec.gov/Archives/edgar/data/784199/000078419922000124/aort-20220331xex10_3.htm" TargetMode="External"/><Relationship Id="rId183" Type="http://schemas.openxmlformats.org/officeDocument/2006/relationships/hyperlink" Target="https://www.sec.gov/Archives/edgar/data/784199/000078419922000124/aort-20220331xex10_4.htm" TargetMode="External"/><Relationship Id="rId187" Type="http://schemas.openxmlformats.org/officeDocument/2006/relationships/hyperlink" Target="https://www.sec.gov/Archives/edgar/data/784199/000078419922000127/aort-20220518xex10_1.htm" TargetMode="External"/><Relationship Id="rId188" Type="http://schemas.openxmlformats.org/officeDocument/2006/relationships/hyperlink" Target="http://www.sec.gov/Archives/edgar/data/784199/000119312511041153/dex1052.htm" TargetMode="External"/><Relationship Id="rId190" Type="http://schemas.openxmlformats.org/officeDocument/2006/relationships/hyperlink" Target="http://www.sec.gov/Archives/edgar/data/784199/000078419914000010/c199-20140711ex101fc3a56.htm" TargetMode="External"/><Relationship Id="rId192" Type="http://schemas.openxmlformats.org/officeDocument/2006/relationships/hyperlink" Target="http://www.sec.gov/Archives/edgar/data/784199/000119312514385003/d809913dex103.htm" TargetMode="External"/><Relationship Id="rId193" Type="http://schemas.openxmlformats.org/officeDocument/2006/relationships/hyperlink" Target="https://www.sec.gov/Archives/edgar/data/784199/000078419922000189/a101-form10xqexxformofinde.htm" TargetMode="External"/><Relationship Id="rId195" Type="http://schemas.openxmlformats.org/officeDocument/2006/relationships/hyperlink" Target="https://www.sec.gov/Archives/edgar/data/784199/000078419922000189/a102-redactedxdavisxchange.htm" TargetMode="External"/><Relationship Id="rId196" Type="http://schemas.openxmlformats.org/officeDocument/2006/relationships/hyperlink" Target="https://www.sec.gov/Archives/edgar/data/784199/000078419922000189/a104-redactedxleexchangeof.htm" TargetMode="External"/><Relationship Id="rId197" Type="http://schemas.openxmlformats.org/officeDocument/2006/relationships/hyperlink" Target="https://www.sec.gov/Archives/edgar/data/784199/000078419922000189/a103-redactedxhollowayxcha.htm" TargetMode="External"/><Relationship Id="rId198" Type="http://schemas.openxmlformats.org/officeDocument/2006/relationships/hyperlink" Target="http://www.sec.gov/Archives/edgar/data/784199/000078419920000019/cry-20191231xex10_19.htm" TargetMode="External"/><Relationship Id="rId199" Type="http://schemas.openxmlformats.org/officeDocument/2006/relationships/hyperlink" Target="http://www.sec.gov/Archives/edgar/data/784199/000078419921000037/cry-20201231xex10_23a.htm" TargetMode="External"/><Relationship Id="rId200" Type="http://schemas.openxmlformats.org/officeDocument/2006/relationships/hyperlink" Target="https://www.sec.gov/Archives/edgar/data/784199/000078419923000040/aort-20221231xexx1013b.htm" TargetMode="External"/><Relationship Id="rId201" Type="http://schemas.openxmlformats.org/officeDocument/2006/relationships/hyperlink" Target="https://www.sec.gov/Archives/edgar/data/784199/000078419923000040/aort-20221231xexx1013c.htm" TargetMode="External"/><Relationship Id="rId202" Type="http://schemas.openxmlformats.org/officeDocument/2006/relationships/hyperlink" Target="http://www.sec.gov/Archives/edgar/data/784199/000139834417015456/fp0029473_ex101.htm" TargetMode="External"/><Relationship Id="rId203" Type="http://schemas.openxmlformats.org/officeDocument/2006/relationships/hyperlink" Target="http://www.sec.gov/Archives/edgar/data/784199/000078419918000195/c199-20181031xex10_1.htm" TargetMode="External"/><Relationship Id="rId204" Type="http://schemas.openxmlformats.org/officeDocument/2006/relationships/hyperlink" Target="https://www.sec.gov/Archives/edgar/data/784199/000078419920000183/cry-20200630xex10_3.htm" TargetMode="External"/><Relationship Id="rId205" Type="http://schemas.openxmlformats.org/officeDocument/2006/relationships/hyperlink" Target="http://www.sec.gov/Archives/edgar/data/784199/000078419921000185/cry-20210630xex10_1.htm" TargetMode="External"/><Relationship Id="rId206" Type="http://schemas.openxmlformats.org/officeDocument/2006/relationships/hyperlink" Target="https://www.sec.gov/Archives/edgar/data/784199/000078419923000040/aort-20221231xexx1014d.htm" TargetMode="External"/><Relationship Id="rId207" Type="http://schemas.openxmlformats.org/officeDocument/2006/relationships/hyperlink" Target="http://www.sec.gov/Archives/edgar/data/784199/000119312508035381/dex1016.htm" TargetMode="External"/><Relationship Id="rId208" Type="http://schemas.openxmlformats.org/officeDocument/2006/relationships/hyperlink" Target="http://www.sec.gov/Archives/edgar/data/784199/0000914062-00-000141-index.html" TargetMode="External"/><Relationship Id="rId211" Type="http://schemas.openxmlformats.org/officeDocument/2006/relationships/hyperlink" Target="http://www.sec.gov/Archives/edgar/data/784199/000091406201500169/c10k1016.txt" TargetMode="External"/><Relationship Id="rId212" Type="http://schemas.openxmlformats.org/officeDocument/2006/relationships/hyperlink" Target="http://www.sec.gov/Archives/edgar/data/784199/000119312510170751/dex102.htm" TargetMode="External"/><Relationship Id="rId213" Type="http://schemas.openxmlformats.org/officeDocument/2006/relationships/hyperlink" Target="http://www.sec.gov/Archives/edgar/data/784199/000078419921000117/cry-20210331xex10_15d.htm" TargetMode="External"/><Relationship Id="rId215" Type="http://schemas.openxmlformats.org/officeDocument/2006/relationships/hyperlink" Target="http://www.sec.gov/Archives/edgar/data/784199/000119312518153021/d580934dex1014.htm" TargetMode="External"/><Relationship Id="rId217" Type="http://schemas.openxmlformats.org/officeDocument/2006/relationships/hyperlink" Target="http://www.sec.gov/Archives/edgar/data/784199/000119312518153021/d580934dex1014a.htm" TargetMode="External"/><Relationship Id="rId218" Type="http://schemas.openxmlformats.org/officeDocument/2006/relationships/hyperlink" Target="http://www.sec.gov/Archives/edgar/data/784199/000119312518153021/d580934dex1014b.htm" TargetMode="External"/><Relationship Id="rId220" Type="http://schemas.openxmlformats.org/officeDocument/2006/relationships/hyperlink" Target="http://www.sec.gov/Archives/edgar/data/784199/000119312518153021/d580934dex1014c.htm" TargetMode="External"/><Relationship Id="rId221" Type="http://schemas.openxmlformats.org/officeDocument/2006/relationships/hyperlink" Target="https://www.sec.gov/Archives/edgar/data/784199/000078419923000150/aort-20230930xex103d.htm" TargetMode="External"/><Relationship Id="rId222" Type="http://schemas.openxmlformats.org/officeDocument/2006/relationships/hyperlink" Target="https://www.sec.gov/Archives/edgar/data/784199/000078419923000150/aort-20230930xex103e.htm" TargetMode="External"/><Relationship Id="rId223" Type="http://schemas.openxmlformats.org/officeDocument/2006/relationships/hyperlink" Target="http://www.sec.gov/Archives/edgar/data/784199/000119312518153021/d580934dex1015.htm" TargetMode="External"/><Relationship Id="rId225" Type="http://schemas.openxmlformats.org/officeDocument/2006/relationships/hyperlink" Target="http://www.sec.gov/Archives/edgar/data/784199/000119312518153021/d580934dex1015a.htm" TargetMode="External"/><Relationship Id="rId226" Type="http://schemas.openxmlformats.org/officeDocument/2006/relationships/hyperlink" Target="http://www.sec.gov/Archives/edgar/data/784199/000119312518153021/d580934dex1016.htm" TargetMode="External"/><Relationship Id="rId228" Type="http://schemas.openxmlformats.org/officeDocument/2006/relationships/hyperlink" Target="http://www.sec.gov/Archives/edgar/data/784199/000119312518241330/d536715dex1016a.htm" TargetMode="External"/><Relationship Id="rId229" Type="http://schemas.openxmlformats.org/officeDocument/2006/relationships/hyperlink" Target="http://www.sec.gov/Archives/edgar/data/784199/000078419921000037/cry-20201231xex10_19.htm" TargetMode="External"/><Relationship Id="rId231" Type="http://schemas.openxmlformats.org/officeDocument/2006/relationships/hyperlink" Target="http://www.sec.gov/Archives/edgar/data/784199/000078419919000158/cry-20190930xex10_1.htm" TargetMode="External"/><Relationship Id="rId232" Type="http://schemas.openxmlformats.org/officeDocument/2006/relationships/hyperlink" Target="http://www.sec.gov/Archives/edgar/data/784199/000078419919000158/cry-20190930xex10_2.htm" TargetMode="External"/><Relationship Id="rId234" Type="http://schemas.openxmlformats.org/officeDocument/2006/relationships/hyperlink" Target="http://www.sec.gov/Archives/edgar/data/784199/000078419921000037/cry-20201231xex10_21a.htm" TargetMode="External"/><Relationship Id="rId236" Type="http://schemas.openxmlformats.org/officeDocument/2006/relationships/hyperlink" Target="https://www.sec.gov/Archives/edgar/data/784199/000078419923000040/aort-20221231xexx1021b.htm" TargetMode="External"/><Relationship Id="rId237" Type="http://schemas.openxmlformats.org/officeDocument/2006/relationships/hyperlink" Target="https://www.sec.gov/Archives/edgar/data/784199/000119312520176533/d946474dex101.htm" TargetMode="External"/><Relationship Id="rId238" Type="http://schemas.openxmlformats.org/officeDocument/2006/relationships/hyperlink" Target="https://www.sec.gov/Archives/edgar/data/784199/00009501572400006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2024-02-23T16:37:23Z</dcterms:created>
  <dcterms:modified xsi:type="dcterms:W3CDTF">2024-02-23T16:37:23Z</dcterms:modified>
</cp:coreProperties>
</file>