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GREEN ANDREW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6510</w:t>
            </w:r>
          </w:p>
        </w:tc>
        <w:tc>
          <w:tcPr>
            <w:tcW w:w="1380" w:type="dxa"/>
            <w:tcBorders/>
            <w:vAlign w:val="center"/>
          </w:tcPr>
          <w:p>
            <w:pPr>
              <w:pStyle w:val="TableContents"/>
              <w:bidi w:val="0"/>
              <w:spacing w:before="0" w:after="283"/>
              <w:jc w:val="left"/>
              <w:rPr/>
            </w:pPr>
            <w:r>
              <w:rPr/>
              <w:t>177497.82</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09/02/2026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2290</w:t>
            </w:r>
          </w:p>
        </w:tc>
        <w:tc>
          <w:tcPr>
            <w:tcW w:w="1046" w:type="dxa"/>
            <w:tcBorders/>
            <w:vAlign w:val="center"/>
          </w:tcPr>
          <w:p>
            <w:pPr>
              <w:pStyle w:val="TableContents"/>
              <w:bidi w:val="0"/>
              <w:spacing w:before="0" w:after="283"/>
              <w:jc w:val="left"/>
              <w:rPr/>
            </w:pPr>
            <w:r>
              <w:rPr/>
              <w:t>11/07/2025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2340</w:t>
            </w:r>
          </w:p>
        </w:tc>
        <w:tc>
          <w:tcPr>
            <w:tcW w:w="1046" w:type="dxa"/>
            <w:tcBorders/>
            <w:vAlign w:val="center"/>
          </w:tcPr>
          <w:p>
            <w:pPr>
              <w:pStyle w:val="TableContents"/>
              <w:bidi w:val="0"/>
              <w:spacing w:before="0" w:after="283"/>
              <w:jc w:val="left"/>
              <w:rPr/>
            </w:pPr>
            <w:r>
              <w:rPr/>
              <w:t>11/10/2025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1880</w:t>
            </w:r>
          </w:p>
        </w:tc>
        <w:tc>
          <w:tcPr>
            <w:tcW w:w="1046" w:type="dxa"/>
            <w:tcBorders/>
            <w:vAlign w:val="center"/>
          </w:tcPr>
          <w:p>
            <w:pPr>
              <w:pStyle w:val="TableContents"/>
              <w:bidi w:val="0"/>
              <w:spacing w:before="0" w:after="283"/>
              <w:jc w:val="left"/>
              <w:rPr/>
            </w:pPr>
            <w:r>
              <w:rPr/>
              <w:t>11/11/2025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Andrew M Green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06/11/2026</w:t>
            </w:r>
          </w:p>
        </w:tc>
        <w:tc>
          <w:tcPr>
            <w:tcW w:w="1564" w:type="dxa"/>
            <w:tcBorders/>
            <w:vAlign w:val="center"/>
          </w:tcPr>
          <w:p>
            <w:pPr>
              <w:pStyle w:val="TableContents"/>
              <w:bidi w:val="0"/>
              <w:spacing w:before="0" w:after="283"/>
              <w:jc w:val="left"/>
              <w:rPr/>
            </w:pPr>
            <w:r>
              <w:rPr/>
              <w:t>44001</w:t>
            </w:r>
          </w:p>
        </w:tc>
        <w:tc>
          <w:tcPr>
            <w:tcW w:w="1763" w:type="dxa"/>
            <w:tcBorders/>
            <w:vAlign w:val="center"/>
          </w:tcPr>
          <w:p>
            <w:pPr>
              <w:pStyle w:val="TableContents"/>
              <w:bidi w:val="0"/>
              <w:spacing w:before="0" w:after="283"/>
              <w:jc w:val="left"/>
              <w:rPr/>
            </w:pPr>
            <w:r>
              <w:rPr/>
              <w:t>910753.51</w:t>
            </w:r>
          </w:p>
        </w:tc>
      </w:tr>
      <w:tr>
        <w:trPr/>
        <w:tc>
          <w:tcPr>
            <w:tcW w:w="2982" w:type="dxa"/>
            <w:tcBorders/>
            <w:vAlign w:val="center"/>
          </w:tcPr>
          <w:p>
            <w:pPr>
              <w:pStyle w:val="TableContents"/>
              <w:bidi w:val="0"/>
              <w:spacing w:before="0" w:after="283"/>
              <w:jc w:val="left"/>
              <w:rPr/>
            </w:pPr>
            <w:r>
              <w:rPr/>
              <w:t>Andrew M Green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08/14/2026</w:t>
            </w:r>
          </w:p>
        </w:tc>
        <w:tc>
          <w:tcPr>
            <w:tcW w:w="1564" w:type="dxa"/>
            <w:tcBorders/>
            <w:vAlign w:val="center"/>
          </w:tcPr>
          <w:p>
            <w:pPr>
              <w:pStyle w:val="TableContents"/>
              <w:bidi w:val="0"/>
              <w:spacing w:before="0" w:after="283"/>
              <w:jc w:val="left"/>
              <w:rPr/>
            </w:pPr>
            <w:r>
              <w:rPr/>
              <w:t>616</w:t>
            </w:r>
          </w:p>
        </w:tc>
        <w:tc>
          <w:tcPr>
            <w:tcW w:w="1763" w:type="dxa"/>
            <w:tcBorders/>
            <w:vAlign w:val="center"/>
          </w:tcPr>
          <w:p>
            <w:pPr>
              <w:pStyle w:val="TableContents"/>
              <w:bidi w:val="0"/>
              <w:spacing w:before="0" w:after="283"/>
              <w:jc w:val="left"/>
              <w:rPr/>
            </w:pPr>
            <w:r>
              <w:rPr/>
              <w:t>17586.18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Louis Kurnick, as a duly authorized representative of Fidelity Brokerage Services LLC, as attorney-in-fact for Andrew M.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3340</Characters>
  <CharactersWithSpaces>3913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